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B1" w:rsidRPr="008C6148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1.</w:t>
      </w:r>
      <w:r w:rsidR="002C62B1" w:rsidRPr="008C61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54484" w:rsidRPr="008C6148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651CEC" w:rsidRPr="008C6148" w:rsidRDefault="002C62B1" w:rsidP="00F103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651CEC" w:rsidRPr="008C6148">
        <w:rPr>
          <w:rFonts w:ascii="Times New Roman" w:hAnsi="Times New Roman"/>
          <w:bCs/>
          <w:sz w:val="24"/>
          <w:szCs w:val="24"/>
          <w:lang w:val="ru-RU"/>
        </w:rPr>
        <w:t xml:space="preserve">Настоящий учебный план </w:t>
      </w:r>
      <w:r w:rsidR="00651CEC" w:rsidRPr="008C6148">
        <w:rPr>
          <w:rFonts w:ascii="Times New Roman" w:hAnsi="Times New Roman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>Российской Федерации №</w:t>
      </w:r>
      <w:r w:rsidR="00D62C5A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>832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 xml:space="preserve">28 июля </w:t>
      </w:r>
      <w:r w:rsidR="00651CEC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651CEC" w:rsidRPr="008C6148"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 w:rsidR="00651CEC" w:rsidRPr="008C6148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="00651CEC" w:rsidRPr="008C6148">
        <w:rPr>
          <w:rFonts w:ascii="Times New Roman" w:hAnsi="Times New Roman"/>
          <w:sz w:val="24"/>
          <w:szCs w:val="24"/>
          <w:lang w:val="ru-RU"/>
        </w:rPr>
        <w:t>зарегистр</w:t>
      </w:r>
      <w:proofErr w:type="spellEnd"/>
      <w:r w:rsidR="00651CEC" w:rsidRPr="008C6148">
        <w:rPr>
          <w:rFonts w:ascii="Times New Roman" w:hAnsi="Times New Roman"/>
          <w:sz w:val="24"/>
          <w:szCs w:val="24"/>
          <w:lang w:val="ru-RU"/>
        </w:rPr>
        <w:t>. Министерством юстиции (рег. №</w:t>
      </w:r>
      <w:r w:rsidR="0089285B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>33638</w:t>
      </w:r>
      <w:r w:rsidR="00651CEC" w:rsidRPr="008C6148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89285B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 xml:space="preserve">19 августа </w:t>
      </w:r>
      <w:r w:rsidR="0089285B" w:rsidRPr="008C6148">
        <w:rPr>
          <w:rFonts w:ascii="Times New Roman" w:hAnsi="Times New Roman"/>
          <w:sz w:val="24"/>
          <w:szCs w:val="24"/>
          <w:lang w:val="ru-RU"/>
        </w:rPr>
        <w:t xml:space="preserve"> 2014 года</w:t>
      </w:r>
      <w:r w:rsidR="00651CEC" w:rsidRPr="008C6148">
        <w:rPr>
          <w:rFonts w:ascii="Times New Roman" w:hAnsi="Times New Roman"/>
          <w:sz w:val="24"/>
          <w:szCs w:val="24"/>
          <w:lang w:val="ru-RU"/>
        </w:rPr>
        <w:t>)</w:t>
      </w:r>
      <w:r w:rsidR="0089285B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CEC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b/>
          <w:sz w:val="24"/>
          <w:szCs w:val="24"/>
          <w:lang w:val="ru-RU"/>
        </w:rPr>
        <w:t>38.02.01 «Экономика и бухгалтерский учет (по отраслям)»</w:t>
      </w:r>
      <w:r w:rsidR="0089285B" w:rsidRPr="008C614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8C6148">
        <w:rPr>
          <w:rFonts w:ascii="Times New Roman" w:hAnsi="Times New Roman"/>
          <w:sz w:val="24"/>
          <w:szCs w:val="24"/>
        </w:rPr>
        <w:t>No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8C6148" w:rsidRDefault="00F103E0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локальные акты техникума. </w:t>
      </w:r>
    </w:p>
    <w:p w:rsidR="002C62B1" w:rsidRPr="008C6148" w:rsidRDefault="002C62B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2. Организация учебного процесса</w:t>
      </w:r>
      <w:r w:rsidR="00A54484" w:rsidRPr="008C6148">
        <w:rPr>
          <w:rFonts w:ascii="Times New Roman" w:hAnsi="Times New Roman"/>
          <w:b/>
          <w:sz w:val="24"/>
          <w:szCs w:val="24"/>
          <w:lang w:val="ru-RU"/>
        </w:rPr>
        <w:t xml:space="preserve"> и режим занятий</w:t>
      </w:r>
      <w:r w:rsidRPr="008C614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7396C" w:rsidRPr="008C6148" w:rsidRDefault="002C62B1" w:rsidP="00A73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8C6148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>3 года 10 месяцев (1</w:t>
      </w:r>
      <w:r w:rsidR="004B6EF6">
        <w:rPr>
          <w:rFonts w:ascii="Times New Roman" w:hAnsi="Times New Roman"/>
          <w:sz w:val="24"/>
          <w:szCs w:val="24"/>
          <w:lang w:val="ru-RU"/>
        </w:rPr>
        <w:t>99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 xml:space="preserve"> недель), в том числе: </w:t>
      </w:r>
    </w:p>
    <w:p w:rsidR="00A7396C" w:rsidRPr="008C6148" w:rsidRDefault="00A7396C" w:rsidP="00A73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Лабораторно-экзаменационная сессия (аудиторная нагрузка - обучение по дисциплинам и междисциплинарным курсам, промежуточная аттестация) </w:t>
      </w:r>
    </w:p>
    <w:p w:rsidR="00A7396C" w:rsidRPr="008C6148" w:rsidRDefault="00A7396C" w:rsidP="00A73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–  </w:t>
      </w:r>
      <w:r w:rsidR="004B6EF6">
        <w:rPr>
          <w:rFonts w:ascii="Times New Roman" w:hAnsi="Times New Roman"/>
          <w:sz w:val="24"/>
          <w:szCs w:val="24"/>
          <w:lang w:val="ru-RU"/>
        </w:rPr>
        <w:t>20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недель;</w:t>
      </w:r>
    </w:p>
    <w:p w:rsidR="00A7396C" w:rsidRPr="008C6148" w:rsidRDefault="00A7396C" w:rsidP="00A73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самостоятельное изучение</w:t>
      </w:r>
      <w:r w:rsidR="004B6EF6">
        <w:rPr>
          <w:rFonts w:ascii="Times New Roman" w:hAnsi="Times New Roman"/>
          <w:sz w:val="24"/>
          <w:szCs w:val="24"/>
          <w:lang w:val="ru-RU"/>
        </w:rPr>
        <w:t xml:space="preserve"> 124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4B6EF6">
        <w:rPr>
          <w:rFonts w:ascii="Times New Roman" w:hAnsi="Times New Roman"/>
          <w:sz w:val="24"/>
          <w:szCs w:val="24"/>
          <w:lang w:val="ru-RU"/>
        </w:rPr>
        <w:t>и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A7396C" w:rsidRPr="008C6148" w:rsidRDefault="00A7396C" w:rsidP="00A73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учебная практика – 3 недели;</w:t>
      </w:r>
    </w:p>
    <w:p w:rsidR="00A7396C" w:rsidRPr="008C6148" w:rsidRDefault="00A7396C" w:rsidP="00A73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производственная практика (по профилю специальности) –  7  недель; </w:t>
      </w:r>
    </w:p>
    <w:p w:rsidR="00A7396C" w:rsidRPr="008C6148" w:rsidRDefault="00A7396C" w:rsidP="00A73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производственная практика(преддипломная) – 4 недели;</w:t>
      </w:r>
    </w:p>
    <w:p w:rsidR="00A7396C" w:rsidRPr="008C6148" w:rsidRDefault="00A7396C" w:rsidP="00A73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государственная (итоговая) аттестация - 6 недель;</w:t>
      </w:r>
    </w:p>
    <w:p w:rsidR="00A7396C" w:rsidRPr="008C6148" w:rsidRDefault="00A7396C" w:rsidP="00A73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каникулярное время – </w:t>
      </w:r>
      <w:r w:rsidR="004B6EF6">
        <w:rPr>
          <w:rFonts w:ascii="Times New Roman" w:hAnsi="Times New Roman"/>
          <w:sz w:val="24"/>
          <w:szCs w:val="24"/>
          <w:lang w:val="ru-RU"/>
        </w:rPr>
        <w:t>35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недели; </w:t>
      </w:r>
    </w:p>
    <w:p w:rsidR="00E1439F" w:rsidRPr="008C6148" w:rsidRDefault="00E1439F" w:rsidP="00A7396C">
      <w:pPr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  <w:lang w:val="ru-RU"/>
        </w:rPr>
      </w:pPr>
      <w:r w:rsidRPr="008C6148">
        <w:rPr>
          <w:rStyle w:val="c2"/>
          <w:rFonts w:ascii="Times New Roman" w:hAnsi="Times New Roman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8C6148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E1439F" w:rsidRPr="008C6148">
        <w:rPr>
          <w:rFonts w:ascii="Times New Roman" w:hAnsi="Times New Roman"/>
          <w:sz w:val="24"/>
          <w:szCs w:val="24"/>
          <w:lang w:val="ru-RU"/>
        </w:rPr>
        <w:t>Начало учебного года - 1 сентября.</w:t>
      </w:r>
    </w:p>
    <w:p w:rsidR="00E1439F" w:rsidRPr="008C6148" w:rsidRDefault="00E1439F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148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C1778" w:rsidRPr="008C6148">
        <w:rPr>
          <w:rFonts w:ascii="Times New Roman" w:hAnsi="Times New Roman"/>
          <w:sz w:val="24"/>
          <w:szCs w:val="24"/>
          <w:lang w:val="ru-RU"/>
        </w:rPr>
        <w:t>Ос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является лабораторно-экзаменационная сессия, включающая </w:t>
      </w:r>
      <w:r w:rsidRPr="008C6148">
        <w:rPr>
          <w:rFonts w:ascii="Times New Roman" w:hAnsi="Times New Roman"/>
          <w:sz w:val="24"/>
          <w:szCs w:val="24"/>
          <w:lang w:val="ru-RU"/>
        </w:rPr>
        <w:lastRenderedPageBreak/>
        <w:t xml:space="preserve">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8C6148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8C6148">
        <w:rPr>
          <w:rFonts w:ascii="Times New Roman" w:hAnsi="Times New Roman"/>
          <w:sz w:val="24"/>
          <w:szCs w:val="24"/>
        </w:rPr>
        <w:t> </w:t>
      </w:r>
      <w:r w:rsidRPr="008C6148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8C6148" w:rsidRDefault="00D45D22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    Во время проведения учебной и </w:t>
      </w:r>
      <w:r w:rsidRPr="008C6148">
        <w:rPr>
          <w:rFonts w:ascii="Times New Roman" w:hAnsi="Times New Roman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8C6148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8C6148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8C6148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4B72A1" w:rsidRPr="008C6148">
        <w:rPr>
          <w:rFonts w:ascii="Times New Roman" w:hAnsi="Times New Roman"/>
          <w:sz w:val="24"/>
          <w:szCs w:val="24"/>
          <w:lang w:val="ru-RU"/>
        </w:rPr>
        <w:t xml:space="preserve">Консультации для обучающихся </w:t>
      </w:r>
      <w:r w:rsidR="00B85845" w:rsidRPr="008C6148">
        <w:rPr>
          <w:rFonts w:ascii="Times New Roman" w:hAnsi="Times New Roman"/>
          <w:sz w:val="24"/>
          <w:szCs w:val="24"/>
          <w:lang w:val="ru-RU"/>
        </w:rPr>
        <w:t>за</w:t>
      </w:r>
      <w:r w:rsidR="004B72A1" w:rsidRPr="008C6148">
        <w:rPr>
          <w:rFonts w:ascii="Times New Roman" w:hAnsi="Times New Roman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>в локальных актах</w:t>
      </w:r>
      <w:r w:rsidR="004B72A1" w:rsidRPr="008C614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62B1" w:rsidRPr="008C6148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3</w:t>
      </w:r>
      <w:r w:rsidR="002C62B1" w:rsidRPr="008C6148">
        <w:rPr>
          <w:rFonts w:ascii="Times New Roman" w:hAnsi="Times New Roman"/>
          <w:b/>
          <w:sz w:val="24"/>
          <w:szCs w:val="24"/>
          <w:lang w:val="ru-RU"/>
        </w:rPr>
        <w:t>. Общеобразовательный учебный цикл</w:t>
      </w:r>
    </w:p>
    <w:p w:rsidR="00096F4C" w:rsidRPr="008C6148" w:rsidRDefault="00096F4C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bCs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 w:rsidR="003B778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="003B77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8C6148">
        <w:rPr>
          <w:rFonts w:ascii="Times New Roman" w:hAnsi="Times New Roman"/>
          <w:sz w:val="24"/>
          <w:szCs w:val="24"/>
          <w:lang w:val="ru-RU"/>
        </w:rPr>
        <w:t>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</w:t>
      </w:r>
      <w:r w:rsidR="00BF72F1" w:rsidRPr="008C6148">
        <w:rPr>
          <w:rFonts w:ascii="Times New Roman" w:hAnsi="Times New Roman"/>
          <w:sz w:val="24"/>
          <w:szCs w:val="24"/>
          <w:lang w:val="ru-RU"/>
        </w:rPr>
        <w:t>.</w:t>
      </w:r>
    </w:p>
    <w:p w:rsidR="002C62B1" w:rsidRPr="008C6148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lastRenderedPageBreak/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8C6148" w:rsidRDefault="002C62B1" w:rsidP="00694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Общеобразовательный цикл дисциплин направлен на 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>социально-экономический профиль</w:t>
      </w:r>
      <w:r w:rsidRPr="008C6148">
        <w:rPr>
          <w:rFonts w:ascii="Times New Roman" w:hAnsi="Times New Roman"/>
          <w:sz w:val="24"/>
          <w:szCs w:val="24"/>
          <w:lang w:val="ru-RU"/>
        </w:rPr>
        <w:t>.</w:t>
      </w:r>
      <w:r w:rsidR="0069412A" w:rsidRPr="008C6148">
        <w:rPr>
          <w:rFonts w:ascii="Times New Roman" w:hAnsi="Times New Roman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8C6148" w:rsidRDefault="001F5F6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8C6148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8C6148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8C6148">
        <w:rPr>
          <w:rFonts w:ascii="Times New Roman" w:hAnsi="Times New Roman"/>
          <w:sz w:val="24"/>
          <w:szCs w:val="24"/>
        </w:rPr>
        <w:t> 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вариативную часть циклов </w:t>
      </w:r>
      <w:r w:rsidR="0013583A">
        <w:rPr>
          <w:rFonts w:ascii="Times New Roman" w:hAnsi="Times New Roman"/>
          <w:sz w:val="24"/>
          <w:szCs w:val="24"/>
          <w:lang w:val="ru-RU"/>
        </w:rPr>
        <w:t xml:space="preserve">207 </w:t>
      </w:r>
      <w:r w:rsidRPr="008C6148">
        <w:rPr>
          <w:rFonts w:ascii="Times New Roman" w:hAnsi="Times New Roman"/>
          <w:sz w:val="24"/>
          <w:szCs w:val="24"/>
          <w:lang w:val="ru-RU"/>
        </w:rPr>
        <w:t>час</w:t>
      </w:r>
      <w:r w:rsidR="00D62C5A" w:rsidRPr="008C6148">
        <w:rPr>
          <w:rFonts w:ascii="Times New Roman" w:hAnsi="Times New Roman"/>
          <w:sz w:val="24"/>
          <w:szCs w:val="24"/>
          <w:lang w:val="ru-RU"/>
        </w:rPr>
        <w:t>ов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8C6148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7298D">
        <w:rPr>
          <w:rFonts w:ascii="Times New Roman" w:hAnsi="Times New Roman"/>
          <w:sz w:val="24"/>
          <w:szCs w:val="24"/>
          <w:lang w:val="ru-RU"/>
        </w:rPr>
        <w:t>972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часов максимальной учебной нагрузки. </w:t>
      </w:r>
      <w:r w:rsidR="0013583A" w:rsidRPr="0013583A">
        <w:rPr>
          <w:rFonts w:ascii="Times New Roman" w:hAnsi="Times New Roman"/>
          <w:sz w:val="24"/>
          <w:szCs w:val="24"/>
          <w:lang w:val="ru-RU"/>
        </w:rPr>
        <w:t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В качестве дисциплин вариативной части определены дисциплины: «Экономическая теория», «Введение в специальность»,</w:t>
      </w:r>
      <w:r w:rsidR="001358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583A" w:rsidRPr="0013583A">
        <w:rPr>
          <w:rFonts w:ascii="Times New Roman" w:hAnsi="Times New Roman"/>
          <w:sz w:val="24"/>
          <w:szCs w:val="24"/>
          <w:lang w:val="ru-RU"/>
        </w:rPr>
        <w:t>«Основы нефтегазового производства».</w:t>
      </w:r>
      <w:r w:rsidR="001358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6148">
        <w:rPr>
          <w:rFonts w:ascii="Times New Roman" w:hAnsi="Times New Roman"/>
          <w:sz w:val="24"/>
          <w:szCs w:val="24"/>
          <w:lang w:val="ru-RU"/>
        </w:rPr>
        <w:t>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8C6148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цикл</w:t>
      </w:r>
      <w:r w:rsidR="002A16D9" w:rsidRPr="008C6148">
        <w:rPr>
          <w:rFonts w:ascii="Times New Roman" w:hAnsi="Times New Roman"/>
          <w:sz w:val="24"/>
          <w:szCs w:val="24"/>
          <w:lang w:val="ru-RU"/>
        </w:rPr>
        <w:t>а</w:t>
      </w:r>
      <w:r w:rsidRPr="008C6148">
        <w:rPr>
          <w:rFonts w:ascii="Times New Roman" w:hAnsi="Times New Roman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13583A" w:rsidRPr="0013583A" w:rsidRDefault="0013583A" w:rsidP="0013583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3583A">
        <w:rPr>
          <w:rFonts w:ascii="Times New Roman" w:hAnsi="Times New Roman"/>
          <w:b/>
          <w:sz w:val="24"/>
          <w:szCs w:val="24"/>
          <w:lang w:val="ru-RU"/>
        </w:rPr>
        <w:t>Распределение вариативной части учебных циклов ППССЗ</w:t>
      </w: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1"/>
        <w:gridCol w:w="4772"/>
        <w:gridCol w:w="1134"/>
        <w:gridCol w:w="1134"/>
        <w:gridCol w:w="1276"/>
        <w:gridCol w:w="1104"/>
      </w:tblGrid>
      <w:tr w:rsidR="00715658" w:rsidRPr="0017298D" w:rsidTr="00715658">
        <w:trPr>
          <w:jc w:val="center"/>
        </w:trPr>
        <w:tc>
          <w:tcPr>
            <w:tcW w:w="1671" w:type="dxa"/>
            <w:vMerge w:val="restart"/>
            <w:vAlign w:val="center"/>
          </w:tcPr>
          <w:p w:rsidR="00715658" w:rsidRPr="0013583A" w:rsidRDefault="00715658" w:rsidP="006210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658">
              <w:rPr>
                <w:rFonts w:ascii="Times New Roman" w:hAnsi="Times New Roman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4772" w:type="dxa"/>
            <w:vMerge w:val="restart"/>
            <w:vAlign w:val="center"/>
          </w:tcPr>
          <w:p w:rsidR="00715658" w:rsidRPr="0013583A" w:rsidRDefault="00715658" w:rsidP="006210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65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268" w:type="dxa"/>
            <w:gridSpan w:val="2"/>
          </w:tcPr>
          <w:p w:rsidR="00715658" w:rsidRPr="00691360" w:rsidRDefault="00715658" w:rsidP="0061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Вариативная часть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учебных циклов ППССЗ</w:t>
            </w:r>
          </w:p>
        </w:tc>
        <w:tc>
          <w:tcPr>
            <w:tcW w:w="1276" w:type="dxa"/>
            <w:vMerge w:val="restart"/>
          </w:tcPr>
          <w:p w:rsidR="00715658" w:rsidRPr="00EF547E" w:rsidRDefault="00715658" w:rsidP="0061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Обязательная часть учебных циклов ППССЗ (в том числе обязательные учебные занятия при заочной форме обучения) </w:t>
            </w:r>
          </w:p>
        </w:tc>
        <w:tc>
          <w:tcPr>
            <w:tcW w:w="1104" w:type="dxa"/>
            <w:vMerge w:val="restart"/>
          </w:tcPr>
          <w:p w:rsidR="00715658" w:rsidRPr="00EF547E" w:rsidRDefault="00715658" w:rsidP="0061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>Вариативная и обязательная части учебных циклов ППССЗ (учебные занятия при заочной форме обучения)</w:t>
            </w:r>
          </w:p>
        </w:tc>
      </w:tr>
      <w:tr w:rsidR="00715658" w:rsidRPr="0013583A" w:rsidTr="00715658">
        <w:trPr>
          <w:jc w:val="center"/>
        </w:trPr>
        <w:tc>
          <w:tcPr>
            <w:tcW w:w="1671" w:type="dxa"/>
            <w:vMerge/>
            <w:vAlign w:val="center"/>
          </w:tcPr>
          <w:p w:rsidR="00715658" w:rsidRPr="00715658" w:rsidRDefault="00715658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72" w:type="dxa"/>
            <w:vMerge/>
            <w:vAlign w:val="center"/>
          </w:tcPr>
          <w:p w:rsidR="00715658" w:rsidRPr="00715658" w:rsidRDefault="00715658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15658" w:rsidRPr="00715658" w:rsidRDefault="00715658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5658">
              <w:rPr>
                <w:rFonts w:ascii="Times New Roman" w:hAnsi="Times New Roman"/>
                <w:sz w:val="20"/>
                <w:szCs w:val="20"/>
                <w:lang w:val="ru-RU"/>
              </w:rPr>
              <w:t>Максимальная учебная нагрузка</w:t>
            </w:r>
          </w:p>
        </w:tc>
        <w:tc>
          <w:tcPr>
            <w:tcW w:w="1134" w:type="dxa"/>
            <w:vAlign w:val="center"/>
          </w:tcPr>
          <w:p w:rsidR="00715658" w:rsidRPr="00715658" w:rsidRDefault="00715658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5658">
              <w:rPr>
                <w:rFonts w:ascii="Times New Roman" w:hAnsi="Times New Roman"/>
                <w:sz w:val="20"/>
                <w:szCs w:val="20"/>
                <w:lang w:val="ru-RU"/>
              </w:rPr>
              <w:t>Обязательные учебные занятия</w:t>
            </w:r>
          </w:p>
        </w:tc>
        <w:tc>
          <w:tcPr>
            <w:tcW w:w="1276" w:type="dxa"/>
            <w:vMerge/>
          </w:tcPr>
          <w:p w:rsidR="00715658" w:rsidRPr="0013583A" w:rsidRDefault="00715658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vMerge/>
          </w:tcPr>
          <w:p w:rsidR="00715658" w:rsidRPr="0013583A" w:rsidRDefault="00715658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5658" w:rsidRPr="0013583A" w:rsidTr="00715658">
        <w:trPr>
          <w:jc w:val="center"/>
        </w:trPr>
        <w:tc>
          <w:tcPr>
            <w:tcW w:w="6443" w:type="dxa"/>
            <w:gridSpan w:val="2"/>
          </w:tcPr>
          <w:p w:rsidR="00715658" w:rsidRPr="0013583A" w:rsidRDefault="00715658" w:rsidP="00621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1134" w:type="dxa"/>
            <w:vAlign w:val="bottom"/>
          </w:tcPr>
          <w:p w:rsidR="00715658" w:rsidRPr="0013583A" w:rsidRDefault="00715658" w:rsidP="00621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15658" w:rsidRPr="0013583A" w:rsidRDefault="00715658" w:rsidP="00621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15658" w:rsidRPr="0013583A" w:rsidRDefault="00715658" w:rsidP="00621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715658" w:rsidRPr="0013583A" w:rsidRDefault="00715658" w:rsidP="00621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56997" w:rsidRPr="0013583A" w:rsidTr="008D3E5A">
        <w:trPr>
          <w:jc w:val="center"/>
        </w:trPr>
        <w:tc>
          <w:tcPr>
            <w:tcW w:w="6443" w:type="dxa"/>
            <w:gridSpan w:val="2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274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276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</w:t>
            </w:r>
          </w:p>
        </w:tc>
      </w:tr>
      <w:tr w:rsidR="00056997" w:rsidRPr="0013583A" w:rsidTr="003715CA">
        <w:trPr>
          <w:jc w:val="center"/>
        </w:trPr>
        <w:tc>
          <w:tcPr>
            <w:tcW w:w="1671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772" w:type="dxa"/>
          </w:tcPr>
          <w:p w:rsidR="00056997" w:rsidRPr="0013583A" w:rsidRDefault="00056997" w:rsidP="00056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«Экономическая теория»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056997" w:rsidRPr="0013583A" w:rsidTr="003715CA">
        <w:trPr>
          <w:jc w:val="center"/>
        </w:trPr>
        <w:tc>
          <w:tcPr>
            <w:tcW w:w="1671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772" w:type="dxa"/>
          </w:tcPr>
          <w:p w:rsidR="00056997" w:rsidRPr="0013583A" w:rsidRDefault="00056997" w:rsidP="0005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056997" w:rsidRPr="0013583A" w:rsidTr="003715CA">
        <w:trPr>
          <w:trHeight w:val="405"/>
          <w:jc w:val="center"/>
        </w:trPr>
        <w:tc>
          <w:tcPr>
            <w:tcW w:w="1671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ОП.13</w:t>
            </w:r>
          </w:p>
        </w:tc>
        <w:tc>
          <w:tcPr>
            <w:tcW w:w="4772" w:type="dxa"/>
          </w:tcPr>
          <w:p w:rsidR="00056997" w:rsidRPr="0013583A" w:rsidRDefault="00056997" w:rsidP="0005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056997" w:rsidRPr="0017298D" w:rsidTr="00715658">
        <w:trPr>
          <w:trHeight w:val="405"/>
          <w:jc w:val="center"/>
        </w:trPr>
        <w:tc>
          <w:tcPr>
            <w:tcW w:w="6443" w:type="dxa"/>
            <w:gridSpan w:val="2"/>
          </w:tcPr>
          <w:p w:rsidR="00056997" w:rsidRPr="0013583A" w:rsidRDefault="00056997" w:rsidP="0005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Вариативная часть использована на увеличение объема времени  профессиональных модулей  обязательной части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6997" w:rsidRPr="0013583A" w:rsidTr="00715658">
        <w:trPr>
          <w:jc w:val="center"/>
        </w:trPr>
        <w:tc>
          <w:tcPr>
            <w:tcW w:w="6443" w:type="dxa"/>
            <w:gridSpan w:val="2"/>
          </w:tcPr>
          <w:p w:rsidR="00056997" w:rsidRPr="0013583A" w:rsidRDefault="00056997" w:rsidP="00056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698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153</w:t>
            </w:r>
          </w:p>
        </w:tc>
        <w:tc>
          <w:tcPr>
            <w:tcW w:w="1276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175</w:t>
            </w:r>
          </w:p>
        </w:tc>
        <w:tc>
          <w:tcPr>
            <w:tcW w:w="1104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328</w:t>
            </w:r>
          </w:p>
        </w:tc>
      </w:tr>
      <w:tr w:rsidR="00056997" w:rsidRPr="0013583A" w:rsidTr="00715658">
        <w:trPr>
          <w:jc w:val="center"/>
        </w:trPr>
        <w:tc>
          <w:tcPr>
            <w:tcW w:w="1671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772" w:type="dxa"/>
          </w:tcPr>
          <w:p w:rsidR="00056997" w:rsidRPr="0013583A" w:rsidRDefault="00056997" w:rsidP="00056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Документирование хозяйственных операций и ведение бухгалтерского учета имущества организации 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156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104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59</w:t>
            </w:r>
          </w:p>
        </w:tc>
      </w:tr>
      <w:tr w:rsidR="00056997" w:rsidRPr="0013583A" w:rsidTr="00715658">
        <w:trPr>
          <w:jc w:val="center"/>
        </w:trPr>
        <w:tc>
          <w:tcPr>
            <w:tcW w:w="1671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772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04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056997" w:rsidRPr="0013583A" w:rsidTr="00715658">
        <w:trPr>
          <w:trHeight w:val="481"/>
          <w:jc w:val="center"/>
        </w:trPr>
        <w:tc>
          <w:tcPr>
            <w:tcW w:w="1671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772" w:type="dxa"/>
          </w:tcPr>
          <w:p w:rsidR="00056997" w:rsidRPr="0013583A" w:rsidRDefault="00056997" w:rsidP="000569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276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104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</w:t>
            </w:r>
          </w:p>
        </w:tc>
      </w:tr>
      <w:tr w:rsidR="00056997" w:rsidRPr="0013583A" w:rsidTr="00715658">
        <w:trPr>
          <w:jc w:val="center"/>
        </w:trPr>
        <w:tc>
          <w:tcPr>
            <w:tcW w:w="1671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772" w:type="dxa"/>
          </w:tcPr>
          <w:p w:rsidR="00056997" w:rsidRPr="0013583A" w:rsidRDefault="00056997" w:rsidP="000569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4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056997" w:rsidRPr="0013583A" w:rsidTr="00715658">
        <w:trPr>
          <w:jc w:val="center"/>
        </w:trPr>
        <w:tc>
          <w:tcPr>
            <w:tcW w:w="1671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МДК.02.02</w:t>
            </w:r>
          </w:p>
        </w:tc>
        <w:tc>
          <w:tcPr>
            <w:tcW w:w="4772" w:type="dxa"/>
          </w:tcPr>
          <w:p w:rsidR="00056997" w:rsidRPr="0013583A" w:rsidRDefault="00056997" w:rsidP="000569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04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056997" w:rsidRPr="0013583A" w:rsidTr="00715658">
        <w:trPr>
          <w:trHeight w:val="465"/>
          <w:jc w:val="center"/>
        </w:trPr>
        <w:tc>
          <w:tcPr>
            <w:tcW w:w="1671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772" w:type="dxa"/>
          </w:tcPr>
          <w:p w:rsidR="00056997" w:rsidRPr="0013583A" w:rsidRDefault="00056997" w:rsidP="00056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Проведение  расчетов с бюджетом и внебюджетными фондами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125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104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</w:t>
            </w:r>
          </w:p>
        </w:tc>
      </w:tr>
      <w:tr w:rsidR="00056997" w:rsidRPr="0013583A" w:rsidTr="00715658">
        <w:trPr>
          <w:jc w:val="center"/>
        </w:trPr>
        <w:tc>
          <w:tcPr>
            <w:tcW w:w="1671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772" w:type="dxa"/>
          </w:tcPr>
          <w:p w:rsidR="00056997" w:rsidRPr="0013583A" w:rsidRDefault="00056997" w:rsidP="000569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расчетов с бюджетом и внебюджетными фондами 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04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</w:tr>
      <w:tr w:rsidR="00056997" w:rsidRPr="0013583A" w:rsidTr="00715658">
        <w:trPr>
          <w:jc w:val="center"/>
        </w:trPr>
        <w:tc>
          <w:tcPr>
            <w:tcW w:w="1671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772" w:type="dxa"/>
          </w:tcPr>
          <w:p w:rsidR="00056997" w:rsidRPr="0013583A" w:rsidRDefault="00056997" w:rsidP="0005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Составление и использование бухгалтерской отчетности 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276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104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</w:t>
            </w:r>
          </w:p>
        </w:tc>
      </w:tr>
      <w:tr w:rsidR="00056997" w:rsidRPr="0013583A" w:rsidTr="00715658">
        <w:trPr>
          <w:jc w:val="center"/>
        </w:trPr>
        <w:tc>
          <w:tcPr>
            <w:tcW w:w="1671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МДК.04.01</w:t>
            </w:r>
          </w:p>
        </w:tc>
        <w:tc>
          <w:tcPr>
            <w:tcW w:w="4772" w:type="dxa"/>
          </w:tcPr>
          <w:p w:rsidR="00056997" w:rsidRPr="0013583A" w:rsidRDefault="00056997" w:rsidP="0005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составления бухгалтерской отчетности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04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</w:tr>
      <w:tr w:rsidR="00056997" w:rsidRPr="0013583A" w:rsidTr="00715658">
        <w:trPr>
          <w:jc w:val="center"/>
        </w:trPr>
        <w:tc>
          <w:tcPr>
            <w:tcW w:w="1671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МДК.04.02</w:t>
            </w:r>
          </w:p>
        </w:tc>
        <w:tc>
          <w:tcPr>
            <w:tcW w:w="4772" w:type="dxa"/>
          </w:tcPr>
          <w:p w:rsidR="00056997" w:rsidRPr="0013583A" w:rsidRDefault="00056997" w:rsidP="0005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Основы анализа бухгалтерской отчетности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134" w:type="dxa"/>
            <w:vAlign w:val="center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04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056997" w:rsidRPr="00715658" w:rsidTr="00715658">
        <w:trPr>
          <w:jc w:val="center"/>
        </w:trPr>
        <w:tc>
          <w:tcPr>
            <w:tcW w:w="1671" w:type="dxa"/>
          </w:tcPr>
          <w:p w:rsidR="00056997" w:rsidRPr="00715658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6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ПМ.05 </w:t>
            </w:r>
          </w:p>
        </w:tc>
        <w:tc>
          <w:tcPr>
            <w:tcW w:w="4772" w:type="dxa"/>
          </w:tcPr>
          <w:p w:rsidR="00056997" w:rsidRPr="00715658" w:rsidRDefault="00056997" w:rsidP="00056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6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dxa"/>
            <w:vAlign w:val="center"/>
          </w:tcPr>
          <w:p w:rsidR="00056997" w:rsidRPr="00715658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6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056997" w:rsidRPr="00715658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6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56997" w:rsidRPr="00715658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6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104" w:type="dxa"/>
          </w:tcPr>
          <w:p w:rsidR="00056997" w:rsidRPr="00715658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6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</w:tr>
      <w:tr w:rsidR="00056997" w:rsidRPr="0013583A" w:rsidTr="00715658">
        <w:trPr>
          <w:jc w:val="center"/>
        </w:trPr>
        <w:tc>
          <w:tcPr>
            <w:tcW w:w="1671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72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</w:t>
            </w:r>
            <w:proofErr w:type="gramStart"/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о(</w:t>
            </w:r>
            <w:proofErr w:type="gramEnd"/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цикл):</w:t>
            </w:r>
          </w:p>
        </w:tc>
        <w:tc>
          <w:tcPr>
            <w:tcW w:w="1134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972</w:t>
            </w:r>
          </w:p>
        </w:tc>
        <w:tc>
          <w:tcPr>
            <w:tcW w:w="1134" w:type="dxa"/>
          </w:tcPr>
          <w:p w:rsidR="00056997" w:rsidRPr="0013583A" w:rsidRDefault="0005699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207</w:t>
            </w:r>
          </w:p>
        </w:tc>
        <w:tc>
          <w:tcPr>
            <w:tcW w:w="1276" w:type="dxa"/>
          </w:tcPr>
          <w:p w:rsidR="00056997" w:rsidRPr="0013583A" w:rsidRDefault="00E3178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  <w:tc>
          <w:tcPr>
            <w:tcW w:w="1104" w:type="dxa"/>
          </w:tcPr>
          <w:p w:rsidR="00056997" w:rsidRPr="0013583A" w:rsidRDefault="00E31787" w:rsidP="0005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382</w:t>
            </w:r>
          </w:p>
        </w:tc>
      </w:tr>
    </w:tbl>
    <w:p w:rsidR="0013583A" w:rsidRPr="0013583A" w:rsidRDefault="0013583A" w:rsidP="0013583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583A" w:rsidRPr="0013583A" w:rsidRDefault="0013583A" w:rsidP="0013583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3583A">
        <w:rPr>
          <w:rFonts w:ascii="Times New Roman" w:hAnsi="Times New Roman"/>
          <w:sz w:val="24"/>
          <w:szCs w:val="24"/>
          <w:lang w:val="ru-RU"/>
        </w:rPr>
        <w:t>Обязательная часть учебных циклов ППССЗ определена следующим образом.</w:t>
      </w:r>
    </w:p>
    <w:p w:rsidR="0013583A" w:rsidRPr="0013583A" w:rsidRDefault="0013583A" w:rsidP="0013583A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13583A">
        <w:rPr>
          <w:rFonts w:ascii="Times New Roman" w:hAnsi="Times New Roman"/>
          <w:b/>
          <w:sz w:val="24"/>
          <w:szCs w:val="24"/>
          <w:lang w:val="ru-RU"/>
        </w:rPr>
        <w:t>Распределение обязательной части учебных циклов ППССЗ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5652"/>
        <w:gridCol w:w="1247"/>
        <w:gridCol w:w="1247"/>
      </w:tblGrid>
      <w:tr w:rsidR="0013583A" w:rsidRPr="0013583A" w:rsidTr="0062108B">
        <w:trPr>
          <w:jc w:val="center"/>
        </w:trPr>
        <w:tc>
          <w:tcPr>
            <w:tcW w:w="1672" w:type="dxa"/>
            <w:vAlign w:val="center"/>
          </w:tcPr>
          <w:p w:rsidR="0013583A" w:rsidRPr="0013583A" w:rsidRDefault="0013583A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5652" w:type="dxa"/>
            <w:vAlign w:val="center"/>
          </w:tcPr>
          <w:p w:rsidR="0013583A" w:rsidRPr="0013583A" w:rsidRDefault="0013583A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247" w:type="dxa"/>
          </w:tcPr>
          <w:p w:rsidR="0013583A" w:rsidRPr="0013583A" w:rsidRDefault="0013583A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247" w:type="dxa"/>
            <w:vAlign w:val="center"/>
          </w:tcPr>
          <w:p w:rsidR="0013583A" w:rsidRPr="0013583A" w:rsidRDefault="0013583A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Обязательные учебные занятия</w:t>
            </w:r>
          </w:p>
        </w:tc>
      </w:tr>
      <w:tr w:rsidR="0013583A" w:rsidRPr="0013583A" w:rsidTr="0062108B">
        <w:trPr>
          <w:jc w:val="center"/>
        </w:trPr>
        <w:tc>
          <w:tcPr>
            <w:tcW w:w="7324" w:type="dxa"/>
            <w:gridSpan w:val="2"/>
          </w:tcPr>
          <w:p w:rsidR="0013583A" w:rsidRPr="0013583A" w:rsidRDefault="0013583A" w:rsidP="00621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  <w:tc>
          <w:tcPr>
            <w:tcW w:w="1247" w:type="dxa"/>
            <w:vAlign w:val="bottom"/>
          </w:tcPr>
          <w:p w:rsidR="0013583A" w:rsidRPr="0013583A" w:rsidRDefault="0013583A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1542</w:t>
            </w:r>
          </w:p>
        </w:tc>
        <w:tc>
          <w:tcPr>
            <w:tcW w:w="1247" w:type="dxa"/>
            <w:vAlign w:val="bottom"/>
          </w:tcPr>
          <w:p w:rsidR="0013583A" w:rsidRPr="0013583A" w:rsidRDefault="0013583A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309</w:t>
            </w:r>
          </w:p>
        </w:tc>
      </w:tr>
      <w:tr w:rsidR="0013583A" w:rsidRPr="0013583A" w:rsidTr="0062108B">
        <w:trPr>
          <w:jc w:val="center"/>
        </w:trPr>
        <w:tc>
          <w:tcPr>
            <w:tcW w:w="7324" w:type="dxa"/>
            <w:gridSpan w:val="2"/>
          </w:tcPr>
          <w:p w:rsidR="0013583A" w:rsidRPr="0013583A" w:rsidRDefault="0013583A" w:rsidP="00621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247" w:type="dxa"/>
            <w:vAlign w:val="bottom"/>
          </w:tcPr>
          <w:p w:rsidR="0013583A" w:rsidRPr="0013583A" w:rsidRDefault="0013583A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741</w:t>
            </w:r>
          </w:p>
        </w:tc>
        <w:tc>
          <w:tcPr>
            <w:tcW w:w="1247" w:type="dxa"/>
            <w:vAlign w:val="bottom"/>
          </w:tcPr>
          <w:p w:rsidR="0013583A" w:rsidRPr="0013583A" w:rsidRDefault="0013583A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</w:tr>
      <w:tr w:rsidR="0013583A" w:rsidRPr="0013583A" w:rsidTr="0062108B">
        <w:trPr>
          <w:jc w:val="center"/>
        </w:trPr>
        <w:tc>
          <w:tcPr>
            <w:tcW w:w="7324" w:type="dxa"/>
            <w:gridSpan w:val="2"/>
          </w:tcPr>
          <w:p w:rsidR="0013583A" w:rsidRPr="0013583A" w:rsidRDefault="0013583A" w:rsidP="00621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</w:p>
        </w:tc>
        <w:tc>
          <w:tcPr>
            <w:tcW w:w="1247" w:type="dxa"/>
            <w:vAlign w:val="bottom"/>
          </w:tcPr>
          <w:p w:rsidR="0013583A" w:rsidRPr="0013583A" w:rsidRDefault="0013583A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801</w:t>
            </w:r>
          </w:p>
        </w:tc>
        <w:tc>
          <w:tcPr>
            <w:tcW w:w="1247" w:type="dxa"/>
            <w:vAlign w:val="bottom"/>
          </w:tcPr>
          <w:p w:rsidR="0013583A" w:rsidRPr="0013583A" w:rsidRDefault="0013583A" w:rsidP="006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83A">
              <w:rPr>
                <w:rFonts w:ascii="Times New Roman" w:hAnsi="Times New Roman"/>
                <w:sz w:val="24"/>
                <w:szCs w:val="24"/>
                <w:lang w:val="ru-RU"/>
              </w:rPr>
              <w:t>175</w:t>
            </w:r>
          </w:p>
        </w:tc>
      </w:tr>
    </w:tbl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B72A1" w:rsidRPr="008C6148" w:rsidRDefault="004B72A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8C6148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8C6148">
        <w:rPr>
          <w:rFonts w:ascii="Times New Roman" w:hAnsi="Times New Roman"/>
          <w:sz w:val="24"/>
          <w:szCs w:val="24"/>
          <w:lang w:val="ru-RU"/>
        </w:rPr>
        <w:br/>
        <w:t xml:space="preserve">За период обучения предусмотрено выполнение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 xml:space="preserve">курсовой работы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по ПМ.0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 xml:space="preserve">4 </w:t>
      </w:r>
      <w:r w:rsidRPr="008C614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bCs/>
          <w:sz w:val="24"/>
          <w:szCs w:val="24"/>
          <w:lang w:val="ru-RU" w:eastAsia="ru-RU"/>
        </w:rPr>
        <w:t>Составление и использование бухгалтерской отчетности</w:t>
      </w:r>
      <w:r w:rsidR="00D62C5A" w:rsidRPr="008C6148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B72A1" w:rsidRPr="008C6148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8C6148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8C614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8C614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8C614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8C6148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8C6148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8C614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8C6148">
        <w:rPr>
          <w:rFonts w:ascii="Times New Roman" w:hAnsi="Times New Roman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8C6148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8C6148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8C6148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8C6148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8C6148">
        <w:rPr>
          <w:rStyle w:val="c2"/>
        </w:rPr>
        <w:t xml:space="preserve">      </w:t>
      </w:r>
      <w:r w:rsidR="00EE08A3" w:rsidRPr="008C6148">
        <w:rPr>
          <w:rStyle w:val="c2"/>
        </w:rPr>
        <w:t>Государственная (итоговая) аттестация включает подготовку и защиту выпускной квалификационной работы (дипломн</w:t>
      </w:r>
      <w:r w:rsidR="00A7396C" w:rsidRPr="008C6148">
        <w:rPr>
          <w:rStyle w:val="c2"/>
        </w:rPr>
        <w:t xml:space="preserve">ая </w:t>
      </w:r>
      <w:r w:rsidR="00EE08A3" w:rsidRPr="008C6148">
        <w:rPr>
          <w:rStyle w:val="c2"/>
        </w:rPr>
        <w:t xml:space="preserve"> </w:t>
      </w:r>
      <w:r w:rsidR="00A7396C" w:rsidRPr="008C6148">
        <w:rPr>
          <w:rStyle w:val="c2"/>
        </w:rPr>
        <w:t>работа</w:t>
      </w:r>
      <w:r w:rsidR="00EE08A3" w:rsidRPr="008C6148">
        <w:rPr>
          <w:rStyle w:val="c2"/>
        </w:rPr>
        <w:t>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8C6148">
        <w:rPr>
          <w:rStyle w:val="c2"/>
        </w:rPr>
        <w:t xml:space="preserve"> </w:t>
      </w:r>
    </w:p>
    <w:p w:rsidR="002C62B1" w:rsidRPr="008C6148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8C6148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8C6148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.), тематика которого соответствует тематике одного или нескольких профессиональных модулей.       </w:t>
      </w:r>
    </w:p>
    <w:p w:rsidR="002C62B1" w:rsidRPr="008C6148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8C6148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8C614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8C6148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8C6148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8C6148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4250"/>
        <w:gridCol w:w="4613"/>
      </w:tblGrid>
      <w:tr w:rsidR="00A7396C" w:rsidRPr="0017298D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Наименование кабинетов, </w:t>
            </w:r>
          </w:p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лабораторий, мастерских и др.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Номера кабинетов,</w:t>
            </w:r>
          </w:p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лабораторий, </w:t>
            </w:r>
          </w:p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мастерских и др.</w:t>
            </w:r>
          </w:p>
        </w:tc>
      </w:tr>
      <w:tr w:rsidR="00A7396C" w:rsidRPr="008C6148" w:rsidTr="00FB7E0B">
        <w:trPr>
          <w:trHeight w:val="1991"/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01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Стрелковый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тир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№1,2</w:t>
            </w:r>
          </w:p>
        </w:tc>
      </w:tr>
      <w:tr w:rsidR="00A7396C" w:rsidRPr="008C6148" w:rsidTr="00FB7E0B">
        <w:trPr>
          <w:trHeight w:val="161"/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№ 04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148">
              <w:rPr>
                <w:rFonts w:ascii="Times New Roman" w:hAnsi="Times New Roman"/>
                <w:sz w:val="20"/>
                <w:szCs w:val="20"/>
              </w:rPr>
              <w:t xml:space="preserve">Кабинет – лаборатория сооружения и эксплуатации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</w:rPr>
              <w:t xml:space="preserve">, информатики, информационных технологий в профессиональной деятельности; </w:t>
            </w:r>
          </w:p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учета</w:t>
            </w:r>
            <w:proofErr w:type="gramStart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;а</w:t>
            </w:r>
            <w:proofErr w:type="gram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нализа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№ 05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</w:t>
            </w:r>
            <w:proofErr w:type="gramStart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т-</w:t>
            </w:r>
            <w:proofErr w:type="gram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№ 10</w:t>
            </w:r>
          </w:p>
        </w:tc>
      </w:tr>
      <w:tr w:rsidR="00A7396C" w:rsidRPr="008C6148" w:rsidTr="00FB7E0B">
        <w:trPr>
          <w:trHeight w:val="1539"/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_Hlk507241308"/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№ 22</w:t>
            </w:r>
            <w:bookmarkEnd w:id="1"/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31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№32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41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</w:tr>
      <w:tr w:rsidR="00A7396C" w:rsidRPr="0017298D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Слесарная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мастерская</w:t>
            </w:r>
            <w:proofErr w:type="spellEnd"/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Мастерские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базовых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A7396C" w:rsidRPr="008C6148" w:rsidRDefault="00A7396C" w:rsidP="00A73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8"/>
                <w:lang w:val="ru-RU" w:eastAsia="ru-RU"/>
              </w:rPr>
              <w:t xml:space="preserve">Управления добычи нефти и газа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8"/>
                <w:lang w:val="ru-RU" w:eastAsia="ru-RU"/>
              </w:rPr>
              <w:t>акцио-нерногообщества</w:t>
            </w:r>
            <w:proofErr w:type="spellEnd"/>
            <w:r w:rsidRPr="008C6148">
              <w:rPr>
                <w:rFonts w:ascii="Times New Roman" w:hAnsi="Times New Roman"/>
                <w:sz w:val="20"/>
                <w:szCs w:val="28"/>
                <w:lang w:val="ru-RU" w:eastAsia="ru-RU"/>
              </w:rPr>
              <w:t xml:space="preserve"> «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8"/>
                <w:lang w:val="ru-RU" w:eastAsia="ru-RU"/>
              </w:rPr>
              <w:t>Белкамнефть</w:t>
            </w:r>
            <w:proofErr w:type="spellEnd"/>
            <w:r w:rsidRPr="008C6148">
              <w:rPr>
                <w:rFonts w:ascii="Times New Roman" w:hAnsi="Times New Roman"/>
                <w:sz w:val="20"/>
                <w:szCs w:val="28"/>
                <w:lang w:val="ru-RU" w:eastAsia="ru-RU"/>
              </w:rPr>
              <w:t xml:space="preserve">» имени Александра Александровича Волкова и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8"/>
                <w:lang w:val="ru-RU" w:eastAsia="ru-RU"/>
              </w:rPr>
              <w:t>др</w:t>
            </w:r>
            <w:proofErr w:type="spellEnd"/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</w:tr>
      <w:tr w:rsidR="00A7396C" w:rsidRPr="008C6148" w:rsidTr="00FB7E0B">
        <w:trPr>
          <w:trHeight w:val="551"/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</w:tr>
      <w:tr w:rsidR="00A7396C" w:rsidRPr="0017298D" w:rsidTr="00FB7E0B">
        <w:trPr>
          <w:trHeight w:val="551"/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C6148" w:rsidRDefault="002C62B1" w:rsidP="00A73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C6148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2B"/>
    <w:rsid w:val="00001BC0"/>
    <w:rsid w:val="0000565E"/>
    <w:rsid w:val="00022721"/>
    <w:rsid w:val="00026D0E"/>
    <w:rsid w:val="000359FE"/>
    <w:rsid w:val="00041FCC"/>
    <w:rsid w:val="000435B5"/>
    <w:rsid w:val="00044B3F"/>
    <w:rsid w:val="000518EA"/>
    <w:rsid w:val="00056997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3583A"/>
    <w:rsid w:val="001444CF"/>
    <w:rsid w:val="001473F2"/>
    <w:rsid w:val="001532F4"/>
    <w:rsid w:val="00155DE3"/>
    <w:rsid w:val="00164F07"/>
    <w:rsid w:val="0017298D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9731C"/>
    <w:rsid w:val="003A0084"/>
    <w:rsid w:val="003A2B0C"/>
    <w:rsid w:val="003B4C63"/>
    <w:rsid w:val="003B778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6EF6"/>
    <w:rsid w:val="004B72A1"/>
    <w:rsid w:val="004D2599"/>
    <w:rsid w:val="004D2B60"/>
    <w:rsid w:val="004E5AB3"/>
    <w:rsid w:val="004F2520"/>
    <w:rsid w:val="005060A1"/>
    <w:rsid w:val="00512B03"/>
    <w:rsid w:val="0051542C"/>
    <w:rsid w:val="00521FF9"/>
    <w:rsid w:val="0052306D"/>
    <w:rsid w:val="00523AF1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1B7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5D4E"/>
    <w:rsid w:val="006D7868"/>
    <w:rsid w:val="006E6C7F"/>
    <w:rsid w:val="006E778C"/>
    <w:rsid w:val="0070132B"/>
    <w:rsid w:val="00707278"/>
    <w:rsid w:val="0071565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19C"/>
    <w:rsid w:val="008622C1"/>
    <w:rsid w:val="00866255"/>
    <w:rsid w:val="008713D1"/>
    <w:rsid w:val="00875CBE"/>
    <w:rsid w:val="00880362"/>
    <w:rsid w:val="00880ED2"/>
    <w:rsid w:val="008818C6"/>
    <w:rsid w:val="0088657F"/>
    <w:rsid w:val="00886A3E"/>
    <w:rsid w:val="008902BF"/>
    <w:rsid w:val="0089285B"/>
    <w:rsid w:val="008B2643"/>
    <w:rsid w:val="008B52F5"/>
    <w:rsid w:val="008C3CB9"/>
    <w:rsid w:val="008C6148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396C"/>
    <w:rsid w:val="00A74920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58CD"/>
    <w:rsid w:val="00BB6CC2"/>
    <w:rsid w:val="00BB741F"/>
    <w:rsid w:val="00BC2A19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200F5"/>
    <w:rsid w:val="00D3380A"/>
    <w:rsid w:val="00D338F0"/>
    <w:rsid w:val="00D439C7"/>
    <w:rsid w:val="00D45246"/>
    <w:rsid w:val="00D45D22"/>
    <w:rsid w:val="00D45F69"/>
    <w:rsid w:val="00D505C0"/>
    <w:rsid w:val="00D600AB"/>
    <w:rsid w:val="00D62C5A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D15"/>
    <w:rsid w:val="00DC6F68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1787"/>
    <w:rsid w:val="00E33B50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90AC0"/>
    <w:rsid w:val="00E95E9F"/>
    <w:rsid w:val="00EA5036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Название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9C3F-2681-4137-9A39-E0EC83F2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1802</Words>
  <Characters>13866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Методист</cp:lastModifiedBy>
  <cp:revision>21</cp:revision>
  <cp:lastPrinted>2001-01-01T02:57:00Z</cp:lastPrinted>
  <dcterms:created xsi:type="dcterms:W3CDTF">2018-05-11T10:29:00Z</dcterms:created>
  <dcterms:modified xsi:type="dcterms:W3CDTF">2001-01-01T02:57:00Z</dcterms:modified>
</cp:coreProperties>
</file>