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3B3C13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2C62B1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3B3C13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Российской Федерации №482 от </w:t>
      </w:r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3B3C13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33323</w:t>
      </w:r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29 июля 2014 года</w:t>
      </w:r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3B3C1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21.02.01 "Разработка и эксплуатация нефтяных и газовых месторождений"</w:t>
      </w:r>
      <w:r w:rsidR="0089285B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3B3C13">
        <w:rPr>
          <w:rFonts w:ascii="Times New Roman" w:hAnsi="Times New Roman"/>
          <w:sz w:val="24"/>
          <w:szCs w:val="24"/>
        </w:rPr>
        <w:t>No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3B3C13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3B3C13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3B3C13">
        <w:rPr>
          <w:rFonts w:ascii="Times New Roman" w:hAnsi="Times New Roman"/>
          <w:color w:val="1F497D"/>
          <w:sz w:val="24"/>
          <w:szCs w:val="24"/>
          <w:lang w:val="ru-RU"/>
        </w:rPr>
        <w:t>составляет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3B3C13">
        <w:rPr>
          <w:rFonts w:ascii="Times New Roman" w:hAnsi="Times New Roman"/>
          <w:sz w:val="24"/>
          <w:szCs w:val="24"/>
          <w:lang w:val="ru-RU"/>
        </w:rPr>
        <w:t>4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3B3C13">
        <w:rPr>
          <w:rFonts w:ascii="Times New Roman" w:hAnsi="Times New Roman"/>
          <w:sz w:val="24"/>
          <w:szCs w:val="24"/>
          <w:lang w:val="ru-RU"/>
        </w:rPr>
        <w:t>251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3B3C13">
        <w:rPr>
          <w:rFonts w:ascii="Times New Roman" w:hAnsi="Times New Roman"/>
          <w:sz w:val="24"/>
          <w:szCs w:val="24"/>
          <w:lang w:val="ru-RU"/>
        </w:rPr>
        <w:t>я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учебная практика - </w:t>
      </w:r>
      <w:r w:rsidR="002E69EE">
        <w:rPr>
          <w:rFonts w:ascii="Times New Roman" w:hAnsi="Times New Roman"/>
          <w:color w:val="000000"/>
          <w:sz w:val="24"/>
          <w:szCs w:val="24"/>
          <w:lang w:val="ru-RU"/>
        </w:rPr>
        <w:t>4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 (по профилю специальности) –  2</w:t>
      </w:r>
      <w:r w:rsidR="002E69EE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  неделя; 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</w:p>
    <w:p w:rsidR="00F03392" w:rsidRPr="003B3C13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3B3C13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3B3C13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3B3C13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1F497D"/>
          <w:sz w:val="24"/>
          <w:szCs w:val="24"/>
          <w:lang w:val="ru-RU"/>
        </w:rPr>
        <w:t xml:space="preserve"> </w:t>
      </w:r>
      <w:r w:rsidRPr="003B3C13">
        <w:rPr>
          <w:rFonts w:ascii="Times New Roman" w:hAnsi="Times New Roman"/>
          <w:bCs/>
          <w:color w:val="1F497D"/>
          <w:sz w:val="24"/>
          <w:szCs w:val="24"/>
          <w:lang w:val="ru-RU"/>
        </w:rPr>
        <w:t xml:space="preserve">     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1C1778" w:rsidRPr="003B3C13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3B3C13">
        <w:rPr>
          <w:rFonts w:ascii="Times New Roman" w:hAnsi="Times New Roman"/>
          <w:sz w:val="24"/>
          <w:szCs w:val="24"/>
        </w:rPr>
        <w:t> </w:t>
      </w:r>
      <w:r w:rsidRPr="003B3C13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3B3C13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3B3C13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3B3C13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3B3C13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3B3C1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3B3C13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3B3C13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096F4C" w:rsidRPr="003B3C13" w:rsidRDefault="00096F4C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 w:rsidR="00E0539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="00E0539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</w:t>
      </w:r>
      <w:r w:rsidR="00BF72F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2C62B1" w:rsidRPr="003B3C13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направлен на  технический профиль.</w:t>
      </w:r>
    </w:p>
    <w:p w:rsidR="001F5F61" w:rsidRPr="003B3C13" w:rsidRDefault="0036451B" w:rsidP="00364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реализуется с использованием сетевой формы реализации образовательных программ</w:t>
      </w:r>
    </w:p>
    <w:p w:rsidR="002C62B1" w:rsidRPr="003B3C13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3B3C13">
        <w:rPr>
          <w:rFonts w:ascii="Times New Roman" w:hAnsi="Times New Roman"/>
          <w:sz w:val="24"/>
          <w:szCs w:val="24"/>
        </w:rPr>
        <w:t> 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>2</w:t>
      </w:r>
      <w:r w:rsidR="00DE0772">
        <w:rPr>
          <w:rFonts w:ascii="Times New Roman" w:hAnsi="Times New Roman"/>
          <w:sz w:val="24"/>
          <w:szCs w:val="24"/>
          <w:lang w:val="ru-RU"/>
        </w:rPr>
        <w:t>3</w:t>
      </w:r>
      <w:r w:rsidR="00203F54">
        <w:rPr>
          <w:rFonts w:ascii="Times New Roman" w:hAnsi="Times New Roman"/>
          <w:sz w:val="24"/>
          <w:szCs w:val="24"/>
          <w:lang w:val="ru-RU"/>
        </w:rPr>
        <w:t>5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3C13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>а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3B3C13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3B3C13">
        <w:rPr>
          <w:rFonts w:ascii="Times New Roman" w:hAnsi="Times New Roman"/>
          <w:sz w:val="24"/>
          <w:szCs w:val="24"/>
          <w:lang w:val="ru-RU"/>
        </w:rPr>
        <w:t>, 1350 часов максимальной учебной нагрузки. 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студентами изучаются дисциплины:  «Введение в специальность», «Основы нефтегазового производства», «Бурение нефтяных и газовых скважин».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учебных циклов. Распределение вариативной части указано в следующей таблице:</w:t>
      </w:r>
      <w:bookmarkStart w:id="0" w:name="_GoBack"/>
      <w:bookmarkEnd w:id="0"/>
    </w:p>
    <w:p w:rsidR="00DE0772" w:rsidRPr="00DE0772" w:rsidRDefault="00DE0772" w:rsidP="00DE077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03F54" w:rsidRPr="00203F54" w:rsidRDefault="00203F54" w:rsidP="00203F5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3F54">
        <w:rPr>
          <w:rFonts w:ascii="Times New Roman" w:hAnsi="Times New Roman"/>
          <w:b/>
          <w:sz w:val="24"/>
          <w:szCs w:val="24"/>
          <w:lang w:val="ru-RU"/>
        </w:rPr>
        <w:t>Распределение вариативной части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"/>
        <w:gridCol w:w="3646"/>
        <w:gridCol w:w="1406"/>
        <w:gridCol w:w="1154"/>
        <w:gridCol w:w="1034"/>
        <w:gridCol w:w="1111"/>
      </w:tblGrid>
      <w:tr w:rsidR="00654025" w:rsidRPr="004473DC" w:rsidTr="004473DC">
        <w:trPr>
          <w:jc w:val="center"/>
        </w:trPr>
        <w:tc>
          <w:tcPr>
            <w:tcW w:w="1667" w:type="dxa"/>
            <w:vMerge w:val="restart"/>
            <w:vAlign w:val="center"/>
          </w:tcPr>
          <w:p w:rsidR="00654025" w:rsidRPr="00203F54" w:rsidRDefault="00654025" w:rsidP="006540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025">
              <w:rPr>
                <w:rFonts w:ascii="Times New Roman" w:hAnsi="Times New Roman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4093" w:type="dxa"/>
            <w:vMerge w:val="restart"/>
            <w:vAlign w:val="center"/>
          </w:tcPr>
          <w:p w:rsidR="00654025" w:rsidRPr="00203F54" w:rsidRDefault="00654025" w:rsidP="0065402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02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835" w:type="dxa"/>
            <w:gridSpan w:val="2"/>
          </w:tcPr>
          <w:p w:rsidR="00654025" w:rsidRPr="00691360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Вариативная часть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учебных циклов ППССЗ</w:t>
            </w:r>
          </w:p>
        </w:tc>
        <w:tc>
          <w:tcPr>
            <w:tcW w:w="1139" w:type="dxa"/>
            <w:vMerge w:val="restart"/>
          </w:tcPr>
          <w:p w:rsidR="00654025" w:rsidRPr="00EF547E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Обязательная часть учебных циклов ППССЗ (в том числе обязательные учебные занятия при заочной форме обучения) </w:t>
            </w:r>
          </w:p>
        </w:tc>
        <w:tc>
          <w:tcPr>
            <w:tcW w:w="1226" w:type="dxa"/>
            <w:vMerge w:val="restart"/>
          </w:tcPr>
          <w:p w:rsidR="00654025" w:rsidRPr="00EF547E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>Вариативная и обязательная части учебных циклов ППССЗ (учебные занятия при заочной форме обучения)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Merge/>
            <w:vAlign w:val="center"/>
          </w:tcPr>
          <w:p w:rsidR="00654025" w:rsidRPr="00654025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93" w:type="dxa"/>
            <w:vMerge/>
            <w:vAlign w:val="center"/>
          </w:tcPr>
          <w:p w:rsidR="00654025" w:rsidRPr="00654025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654025" w:rsidRPr="00654025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4025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Максимальная учебная нагрузка</w:t>
            </w:r>
          </w:p>
        </w:tc>
        <w:tc>
          <w:tcPr>
            <w:tcW w:w="1275" w:type="dxa"/>
            <w:vAlign w:val="center"/>
          </w:tcPr>
          <w:p w:rsidR="00654025" w:rsidRPr="00654025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4025">
              <w:rPr>
                <w:rFonts w:ascii="Times New Roman" w:hAnsi="Times New Roman"/>
                <w:sz w:val="20"/>
                <w:szCs w:val="20"/>
                <w:lang w:val="ru-RU"/>
              </w:rPr>
              <w:t>Обязательные учебные занятия</w:t>
            </w:r>
          </w:p>
        </w:tc>
        <w:tc>
          <w:tcPr>
            <w:tcW w:w="1139" w:type="dxa"/>
            <w:vMerge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vMerge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4025" w:rsidRPr="00203F54" w:rsidTr="004473DC">
        <w:trPr>
          <w:jc w:val="center"/>
        </w:trPr>
        <w:tc>
          <w:tcPr>
            <w:tcW w:w="5760" w:type="dxa"/>
            <w:gridSpan w:val="2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806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1226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252</w:t>
            </w:r>
          </w:p>
        </w:tc>
      </w:tr>
      <w:tr w:rsidR="00654025" w:rsidRPr="00203F54" w:rsidTr="004473DC">
        <w:trPr>
          <w:jc w:val="center"/>
        </w:trPr>
        <w:tc>
          <w:tcPr>
            <w:tcW w:w="5760" w:type="dxa"/>
            <w:gridSpan w:val="2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203F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93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1226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03F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03F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03F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ОП.10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4025" w:rsidRPr="00203F54" w:rsidTr="004473DC">
        <w:trPr>
          <w:jc w:val="center"/>
        </w:trPr>
        <w:tc>
          <w:tcPr>
            <w:tcW w:w="5760" w:type="dxa"/>
            <w:gridSpan w:val="2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203F5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228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26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093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093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ОП.13</w:t>
            </w:r>
          </w:p>
        </w:tc>
        <w:tc>
          <w:tcPr>
            <w:tcW w:w="4093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54025" w:rsidRPr="00203F54" w:rsidTr="004473DC">
        <w:trPr>
          <w:jc w:val="center"/>
        </w:trPr>
        <w:tc>
          <w:tcPr>
            <w:tcW w:w="5760" w:type="dxa"/>
            <w:gridSpan w:val="2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025" w:rsidRPr="00203F54" w:rsidTr="004473DC">
        <w:trPr>
          <w:jc w:val="center"/>
        </w:trPr>
        <w:tc>
          <w:tcPr>
            <w:tcW w:w="5760" w:type="dxa"/>
            <w:gridSpan w:val="2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 модулей  обязательной части: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544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106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</w:tcPr>
          <w:p w:rsidR="00654025" w:rsidRPr="00203F54" w:rsidRDefault="00E304D9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424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ПМ.01</w:t>
            </w:r>
          </w:p>
        </w:tc>
        <w:tc>
          <w:tcPr>
            <w:tcW w:w="4093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308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155</w:t>
            </w:r>
          </w:p>
        </w:tc>
        <w:tc>
          <w:tcPr>
            <w:tcW w:w="1226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215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093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269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226" w:type="dxa"/>
            <w:vAlign w:val="center"/>
          </w:tcPr>
          <w:p w:rsidR="00654025" w:rsidRPr="00654025" w:rsidRDefault="006540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025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ПМ.02</w:t>
            </w:r>
          </w:p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93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Pr="00203F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1226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122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МДК.02.01</w:t>
            </w:r>
          </w:p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093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203F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226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093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1560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  <w:vAlign w:val="center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226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71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093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1560" w:type="dxa"/>
            <w:vAlign w:val="bottom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275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226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</w:tcPr>
          <w:p w:rsidR="00654025" w:rsidRPr="00E304D9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04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ПМ.04 </w:t>
            </w:r>
          </w:p>
        </w:tc>
        <w:tc>
          <w:tcPr>
            <w:tcW w:w="4093" w:type="dxa"/>
          </w:tcPr>
          <w:p w:rsidR="00654025" w:rsidRPr="00E304D9" w:rsidRDefault="00E304D9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04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"Оператор по исследованию скважин"</w:t>
            </w:r>
          </w:p>
        </w:tc>
        <w:tc>
          <w:tcPr>
            <w:tcW w:w="1560" w:type="dxa"/>
            <w:vAlign w:val="bottom"/>
          </w:tcPr>
          <w:p w:rsidR="00654025" w:rsidRPr="00E304D9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04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654025" w:rsidRPr="00E304D9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04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9" w:type="dxa"/>
          </w:tcPr>
          <w:p w:rsidR="00654025" w:rsidRPr="00E304D9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04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226" w:type="dxa"/>
          </w:tcPr>
          <w:p w:rsidR="00654025" w:rsidRPr="00E304D9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04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654025" w:rsidRPr="00203F54" w:rsidTr="004473DC">
        <w:trPr>
          <w:jc w:val="center"/>
        </w:trPr>
        <w:tc>
          <w:tcPr>
            <w:tcW w:w="1667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93" w:type="dxa"/>
          </w:tcPr>
          <w:p w:rsidR="00654025" w:rsidRPr="00203F54" w:rsidRDefault="00654025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(профессиональный цикл)</w:t>
            </w:r>
            <w:r w:rsidRPr="00203F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275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235</w:t>
            </w:r>
          </w:p>
        </w:tc>
        <w:tc>
          <w:tcPr>
            <w:tcW w:w="1139" w:type="dxa"/>
          </w:tcPr>
          <w:p w:rsidR="00654025" w:rsidRPr="00203F54" w:rsidRDefault="00654025" w:rsidP="00654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318</w:t>
            </w:r>
          </w:p>
        </w:tc>
        <w:tc>
          <w:tcPr>
            <w:tcW w:w="1226" w:type="dxa"/>
          </w:tcPr>
          <w:p w:rsidR="00654025" w:rsidRPr="00203F54" w:rsidRDefault="00654025" w:rsidP="00E30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E304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76</w:t>
            </w:r>
          </w:p>
        </w:tc>
      </w:tr>
    </w:tbl>
    <w:p w:rsidR="00203F54" w:rsidRPr="00203F54" w:rsidRDefault="00203F54" w:rsidP="00203F5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03F54">
        <w:rPr>
          <w:rFonts w:ascii="Times New Roman" w:hAnsi="Times New Roman"/>
          <w:sz w:val="24"/>
          <w:szCs w:val="24"/>
          <w:lang w:val="ru-RU"/>
        </w:rPr>
        <w:t>Обязательная часть учебных циклов ППССЗ определена следующим образом.</w:t>
      </w:r>
    </w:p>
    <w:p w:rsidR="00203F54" w:rsidRPr="00203F54" w:rsidRDefault="00203F54" w:rsidP="00203F5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03F54">
        <w:rPr>
          <w:rFonts w:ascii="Times New Roman" w:hAnsi="Times New Roman"/>
          <w:b/>
          <w:sz w:val="24"/>
          <w:szCs w:val="24"/>
          <w:lang w:val="ru-RU"/>
        </w:rPr>
        <w:t>Распределение обязательной части учебных циклов ППССЗ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2"/>
        <w:gridCol w:w="5652"/>
        <w:gridCol w:w="1247"/>
        <w:gridCol w:w="1247"/>
      </w:tblGrid>
      <w:tr w:rsidR="00203F54" w:rsidRPr="00203F54" w:rsidTr="00654025">
        <w:trPr>
          <w:jc w:val="center"/>
        </w:trPr>
        <w:tc>
          <w:tcPr>
            <w:tcW w:w="1672" w:type="dxa"/>
            <w:vAlign w:val="center"/>
          </w:tcPr>
          <w:p w:rsidR="00203F54" w:rsidRPr="00203F54" w:rsidRDefault="00203F54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5652" w:type="dxa"/>
            <w:vAlign w:val="center"/>
          </w:tcPr>
          <w:p w:rsidR="00203F54" w:rsidRPr="00203F54" w:rsidRDefault="00203F54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247" w:type="dxa"/>
          </w:tcPr>
          <w:p w:rsidR="00203F54" w:rsidRPr="00203F54" w:rsidRDefault="00203F54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247" w:type="dxa"/>
            <w:vAlign w:val="center"/>
          </w:tcPr>
          <w:p w:rsidR="00203F54" w:rsidRPr="00203F54" w:rsidRDefault="00203F54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Обязательные учебные занятия</w:t>
            </w:r>
          </w:p>
        </w:tc>
      </w:tr>
      <w:tr w:rsidR="00203F54" w:rsidRPr="00203F54" w:rsidTr="00654025">
        <w:trPr>
          <w:jc w:val="center"/>
        </w:trPr>
        <w:tc>
          <w:tcPr>
            <w:tcW w:w="7324" w:type="dxa"/>
            <w:gridSpan w:val="2"/>
          </w:tcPr>
          <w:p w:rsidR="00203F54" w:rsidRPr="00203F54" w:rsidRDefault="00203F54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247" w:type="dxa"/>
            <w:vAlign w:val="bottom"/>
          </w:tcPr>
          <w:p w:rsidR="00203F54" w:rsidRPr="00203F54" w:rsidRDefault="00203F54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2394</w:t>
            </w:r>
          </w:p>
        </w:tc>
        <w:tc>
          <w:tcPr>
            <w:tcW w:w="1247" w:type="dxa"/>
            <w:vAlign w:val="bottom"/>
          </w:tcPr>
          <w:p w:rsidR="00203F54" w:rsidRPr="00203F54" w:rsidRDefault="00203F54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441</w:t>
            </w:r>
          </w:p>
        </w:tc>
      </w:tr>
      <w:tr w:rsidR="00203F54" w:rsidRPr="00203F54" w:rsidTr="00654025">
        <w:trPr>
          <w:jc w:val="center"/>
        </w:trPr>
        <w:tc>
          <w:tcPr>
            <w:tcW w:w="7324" w:type="dxa"/>
            <w:gridSpan w:val="2"/>
          </w:tcPr>
          <w:p w:rsidR="00203F54" w:rsidRPr="00203F54" w:rsidRDefault="00203F54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247" w:type="dxa"/>
            <w:vAlign w:val="bottom"/>
          </w:tcPr>
          <w:p w:rsidR="00203F54" w:rsidRPr="00203F54" w:rsidRDefault="00203F54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768</w:t>
            </w:r>
          </w:p>
        </w:tc>
        <w:tc>
          <w:tcPr>
            <w:tcW w:w="1247" w:type="dxa"/>
            <w:vAlign w:val="bottom"/>
          </w:tcPr>
          <w:p w:rsidR="00203F54" w:rsidRPr="00203F54" w:rsidRDefault="00203F54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</w:tr>
      <w:tr w:rsidR="00203F54" w:rsidRPr="00203F54" w:rsidTr="00654025">
        <w:trPr>
          <w:jc w:val="center"/>
        </w:trPr>
        <w:tc>
          <w:tcPr>
            <w:tcW w:w="7324" w:type="dxa"/>
            <w:gridSpan w:val="2"/>
          </w:tcPr>
          <w:p w:rsidR="00203F54" w:rsidRPr="00203F54" w:rsidRDefault="00203F54" w:rsidP="006540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1247" w:type="dxa"/>
            <w:vAlign w:val="bottom"/>
          </w:tcPr>
          <w:p w:rsidR="00203F54" w:rsidRPr="00203F54" w:rsidRDefault="00203F54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1626</w:t>
            </w:r>
          </w:p>
        </w:tc>
        <w:tc>
          <w:tcPr>
            <w:tcW w:w="1247" w:type="dxa"/>
            <w:vAlign w:val="bottom"/>
          </w:tcPr>
          <w:p w:rsidR="00203F54" w:rsidRPr="00203F54" w:rsidRDefault="00203F54" w:rsidP="00654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F54">
              <w:rPr>
                <w:rFonts w:ascii="Times New Roman" w:hAnsi="Times New Roman"/>
                <w:sz w:val="24"/>
                <w:szCs w:val="24"/>
                <w:lang w:val="ru-RU"/>
              </w:rPr>
              <w:t>318</w:t>
            </w:r>
          </w:p>
        </w:tc>
      </w:tr>
    </w:tbl>
    <w:p w:rsidR="002C62B1" w:rsidRPr="003B3C13" w:rsidRDefault="002C62B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B72A1" w:rsidRPr="003B3C13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3B3C13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3B3C13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3B3C13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3B3C13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3B3C13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3B3C13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3B3C13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3B3C13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3B3C13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C13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3B3C13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3B3C13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3B3C13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3B3C13">
        <w:rPr>
          <w:rStyle w:val="c2"/>
          <w:color w:val="000000"/>
        </w:rPr>
        <w:t xml:space="preserve">      </w:t>
      </w:r>
      <w:r w:rsidR="00EE08A3" w:rsidRPr="003B3C13">
        <w:rPr>
          <w:rStyle w:val="c2"/>
          <w:color w:val="000000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3B3C13">
        <w:rPr>
          <w:rStyle w:val="c2"/>
          <w:color w:val="000000"/>
        </w:rPr>
        <w:t xml:space="preserve"> </w:t>
      </w:r>
    </w:p>
    <w:p w:rsidR="002C62B1" w:rsidRPr="003B3C13" w:rsidRDefault="001F5F6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3B3C13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которого соответствует тематике одного или нескольких профессиональных модулей.</w:t>
      </w:r>
      <w:r w:rsidR="002C62B1" w:rsidRPr="003B3C13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</w:t>
      </w:r>
    </w:p>
    <w:p w:rsidR="002C62B1" w:rsidRPr="003B3C13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3B3C13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B3C13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3B3C1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3B3C13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3B3C13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3B3C13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8"/>
        <w:gridCol w:w="3082"/>
      </w:tblGrid>
      <w:tr w:rsidR="001C1778" w:rsidRPr="004473DC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1C1778" w:rsidRPr="003B3C13" w:rsidTr="001C1778">
        <w:trPr>
          <w:trHeight w:val="1873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Стрелковыйтир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1C1778" w:rsidRPr="003B3C13" w:rsidTr="001C1778">
        <w:trPr>
          <w:trHeight w:val="16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</w:t>
            </w: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proofErr w:type="gram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учета;анализа</w:t>
            </w:r>
            <w:proofErr w:type="spellEnd"/>
            <w:proofErr w:type="gram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процессов,  имитации</w:t>
            </w:r>
            <w:proofErr w:type="gram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1C1778" w:rsidRPr="003B3C13" w:rsidTr="001C1778">
        <w:trPr>
          <w:trHeight w:val="1584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507241308"/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  <w:bookmarkEnd w:id="1"/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Методическийкабинет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1C1778" w:rsidRPr="004473DC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Слесарнаямастерская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1778" w:rsidRPr="003B3C13" w:rsidRDefault="001C1778" w:rsidP="00F103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proofErr w:type="gram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proofErr w:type="gram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«Белкамнефть» имени Александра Александровича Волкова и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C1778" w:rsidRPr="003B3C13" w:rsidTr="001C1778">
        <w:trPr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1C1778" w:rsidRPr="003B3C13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Актовыйзал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1C1778" w:rsidRPr="003B3C13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Полигоннефтегазопромысловогооборудования</w:t>
            </w:r>
            <w:proofErr w:type="spellEnd"/>
          </w:p>
        </w:tc>
        <w:tc>
          <w:tcPr>
            <w:tcW w:w="3082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1C1778" w:rsidRPr="004473DC" w:rsidTr="001C1778">
        <w:trPr>
          <w:trHeight w:val="551"/>
          <w:jc w:val="center"/>
        </w:trPr>
        <w:tc>
          <w:tcPr>
            <w:tcW w:w="6538" w:type="dxa"/>
          </w:tcPr>
          <w:p w:rsidR="001C1778" w:rsidRPr="003B3C1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1C1778" w:rsidRPr="00846FE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03F54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2E69EE"/>
    <w:rsid w:val="003055E7"/>
    <w:rsid w:val="003066EE"/>
    <w:rsid w:val="0032461B"/>
    <w:rsid w:val="00333389"/>
    <w:rsid w:val="003467EC"/>
    <w:rsid w:val="00356E7F"/>
    <w:rsid w:val="003573C6"/>
    <w:rsid w:val="0036451B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3C13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473DC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3E8F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54025"/>
    <w:rsid w:val="0066534D"/>
    <w:rsid w:val="00670C32"/>
    <w:rsid w:val="006848EE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C7A5B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1611"/>
    <w:rsid w:val="00D439C7"/>
    <w:rsid w:val="00D45246"/>
    <w:rsid w:val="00D45D22"/>
    <w:rsid w:val="00D45F69"/>
    <w:rsid w:val="00D505C0"/>
    <w:rsid w:val="00D600AB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16DA"/>
    <w:rsid w:val="00DD334D"/>
    <w:rsid w:val="00DE0693"/>
    <w:rsid w:val="00DE0772"/>
    <w:rsid w:val="00DE2B48"/>
    <w:rsid w:val="00DE3CFD"/>
    <w:rsid w:val="00DF32C5"/>
    <w:rsid w:val="00E002FF"/>
    <w:rsid w:val="00E003BA"/>
    <w:rsid w:val="00E01E76"/>
    <w:rsid w:val="00E05394"/>
    <w:rsid w:val="00E12580"/>
    <w:rsid w:val="00E1439F"/>
    <w:rsid w:val="00E17F0A"/>
    <w:rsid w:val="00E21110"/>
    <w:rsid w:val="00E2561F"/>
    <w:rsid w:val="00E304D9"/>
    <w:rsid w:val="00E33B50"/>
    <w:rsid w:val="00E454FE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A5036"/>
    <w:rsid w:val="00EB4A67"/>
    <w:rsid w:val="00EB5498"/>
    <w:rsid w:val="00EB562A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AF59A-806F-4665-A0FC-A5A5EDA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5B83-292D-43FB-907F-7804B21F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15</cp:revision>
  <cp:lastPrinted>2000-12-31T22:40:00Z</cp:lastPrinted>
  <dcterms:created xsi:type="dcterms:W3CDTF">2018-05-11T10:29:00Z</dcterms:created>
  <dcterms:modified xsi:type="dcterms:W3CDTF">2018-08-15T07:11:00Z</dcterms:modified>
</cp:coreProperties>
</file>