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B1" w:rsidRPr="007E1576" w:rsidRDefault="00F103E0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</w:t>
      </w:r>
      <w:r w:rsidR="002C62B1"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54484"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651CEC" w:rsidRPr="007E1576" w:rsidRDefault="002C62B1" w:rsidP="00F103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651CEC"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Настоящий учебный план </w:t>
      </w:r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</w:t>
      </w:r>
      <w:r w:rsidR="00F103E0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Российской Федерации №48</w:t>
      </w:r>
      <w:r w:rsidR="002A16D9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F103E0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12 мая </w:t>
      </w:r>
      <w:smartTag w:uri="urn:schemas-microsoft-com:office:smarttags" w:element="metricconverter">
        <w:smartTagPr>
          <w:attr w:name="ProductID" w:val="2014 г"/>
        </w:smartTagPr>
        <w:r w:rsidR="00651CEC" w:rsidRPr="007E1576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2014 г</w:t>
        </w:r>
      </w:smartTag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зарегистр</w:t>
      </w:r>
      <w:proofErr w:type="spellEnd"/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. Министерством юстиции (рег. №</w:t>
      </w:r>
      <w:r w:rsidR="0089285B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16D9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32924</w:t>
      </w:r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</w:t>
      </w:r>
      <w:r w:rsidR="0089285B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16D9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30 </w:t>
      </w:r>
      <w:r w:rsidR="0089285B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ию</w:t>
      </w:r>
      <w:r w:rsidR="002A16D9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89285B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я 2014 года</w:t>
      </w:r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89285B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51CEC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9285B"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21.02.0</w:t>
      </w:r>
      <w:r w:rsidR="002A16D9"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</w:t>
      </w:r>
      <w:r w:rsidR="0089285B"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"</w:t>
      </w:r>
      <w:r w:rsidR="002A16D9"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Бурение нефтяных и газовых скважин</w:t>
      </w:r>
      <w:r w:rsidR="0089285B"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"</w:t>
      </w:r>
      <w:r w:rsidR="0089285B"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Нормативно-правовую основу разработки учебного плана составляют: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Федеральный Закон от 29 декабря 2012 года № 273-ФЗ «Об образовании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в Российской Федерации»;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- Устав техникума;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Российской Федерации от 14 июня 2013 года 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РФ от 16 августа 2013 года № 968 (ред. От 31.01.2014г.)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- Письмо Минобрнауки России от 17.03.2015 </w:t>
      </w:r>
      <w:r w:rsidRPr="007E1576">
        <w:rPr>
          <w:rFonts w:ascii="Times New Roman" w:hAnsi="Times New Roman"/>
          <w:sz w:val="24"/>
          <w:szCs w:val="24"/>
        </w:rPr>
        <w:t>No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- Разъяснения ФИРО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образования;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- Положение «О практике обучающихся, осваивающих основные профессиональные образовательные программы среднего профессионального образования», утверждённым приказом Министерства образования и 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>науки РФ от 18.02.13 года № 291;</w:t>
      </w:r>
    </w:p>
    <w:p w:rsidR="002C62B1" w:rsidRPr="007E1576" w:rsidRDefault="00F103E0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локальные акты техникума. </w:t>
      </w:r>
    </w:p>
    <w:p w:rsidR="002C62B1" w:rsidRPr="007E1576" w:rsidRDefault="002C62B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 Организация учебного процесса</w:t>
      </w:r>
      <w:r w:rsidR="00A54484"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режим занятий</w:t>
      </w:r>
      <w:r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      Срок реализации  образовательной программы  базовой подготовки при заочной форме получения образования  на базе основного общего образования </w:t>
      </w:r>
      <w:r w:rsidR="0089285B" w:rsidRPr="007E1576">
        <w:rPr>
          <w:rFonts w:ascii="Times New Roman" w:hAnsi="Times New Roman"/>
          <w:color w:val="1F497D"/>
          <w:sz w:val="24"/>
          <w:szCs w:val="24"/>
          <w:lang w:val="ru-RU"/>
        </w:rPr>
        <w:t>составляет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8D3" w:rsidRPr="007E1576">
        <w:rPr>
          <w:rFonts w:ascii="Times New Roman" w:hAnsi="Times New Roman"/>
          <w:sz w:val="24"/>
          <w:szCs w:val="24"/>
          <w:lang w:val="ru-RU"/>
        </w:rPr>
        <w:t>4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года 10 месяцев (</w:t>
      </w:r>
      <w:r w:rsidR="00CE38D3" w:rsidRPr="007E1576">
        <w:rPr>
          <w:rFonts w:ascii="Times New Roman" w:hAnsi="Times New Roman"/>
          <w:sz w:val="24"/>
          <w:szCs w:val="24"/>
          <w:lang w:val="ru-RU"/>
        </w:rPr>
        <w:t>251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недел</w:t>
      </w:r>
      <w:r w:rsidR="006E6C7F" w:rsidRPr="007E1576">
        <w:rPr>
          <w:rFonts w:ascii="Times New Roman" w:hAnsi="Times New Roman"/>
          <w:sz w:val="24"/>
          <w:szCs w:val="24"/>
          <w:lang w:val="ru-RU"/>
        </w:rPr>
        <w:t>я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), в том числе: 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>Лабораторно-экзаменационная сессия (аудиторная нагрузка - обучение по дисциплинам и междисциплинарным курсам, промежуточная аттестация) –  26 недель;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самостоятельное обучение 144 недели; 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- учебная практика - </w:t>
      </w:r>
      <w:r w:rsidR="005F7894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>- производственная практика (по профилю специальности) –  2</w:t>
      </w:r>
      <w:r w:rsidR="005F7894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  неделя; 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>- производственная практика(преддипломная) – 4 недели;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>- государственная (итоговая) аттестация - 6 недель;</w:t>
      </w:r>
    </w:p>
    <w:p w:rsidR="00F03392" w:rsidRPr="007E1576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каникулярное время – 46 недель; </w:t>
      </w:r>
    </w:p>
    <w:p w:rsidR="00E1439F" w:rsidRPr="007E1576" w:rsidRDefault="00E1439F" w:rsidP="00F103E0">
      <w:pPr>
        <w:spacing w:after="0" w:line="240" w:lineRule="auto"/>
        <w:ind w:firstLine="360"/>
        <w:jc w:val="both"/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  <w:t>- Продолжительность учебной недели – шестидневная.</w:t>
      </w:r>
    </w:p>
    <w:p w:rsidR="00E1439F" w:rsidRPr="007E1576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E1439F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Начало учебного года - 1 сентября.</w:t>
      </w:r>
    </w:p>
    <w:p w:rsidR="00E1439F" w:rsidRPr="007E1576" w:rsidRDefault="00E1439F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Для всех видов аудиторных занятий академический час устанавливается продолжительностью 45 минут, предусмотрена группировка парами.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1F497D"/>
          <w:sz w:val="24"/>
          <w:szCs w:val="24"/>
          <w:lang w:val="ru-RU"/>
        </w:rPr>
        <w:t xml:space="preserve"> </w:t>
      </w:r>
      <w:r w:rsidRPr="007E1576">
        <w:rPr>
          <w:rFonts w:ascii="Times New Roman" w:hAnsi="Times New Roman"/>
          <w:bCs/>
          <w:color w:val="1F497D"/>
          <w:sz w:val="24"/>
          <w:szCs w:val="24"/>
          <w:lang w:val="ru-RU"/>
        </w:rPr>
        <w:t xml:space="preserve">      </w:t>
      </w: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1C1778" w:rsidRPr="007E1576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новной формой организации образовательного процесса </w:t>
      </w:r>
      <w:r w:rsidR="00F103E0"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студентов заочной формы получения образования </w:t>
      </w: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лабораторно-экзаменационная сессия, включающая в себя весь комплекс лабораторно-практических работ, теоретического обучения и оценочных мероприятий (промежуточная и итоговая аттестация) (далее - сессия).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В межсессионный период в соответствии с графиком сдачи контрольных и курсовых работ студенты выполняют межсессионные домашние контрольные работы (количество которых в учебном году не более десяти, а по отдельной дисциплине, МДК, ПМ - не более двух) и курсовые проекты, проходят учебную и производственную практику (по профилю специальности).  </w:t>
      </w:r>
    </w:p>
    <w:p w:rsidR="002C62B1" w:rsidRPr="007E1576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Максимальный объем учебной нагрузки обучающихся составляет 54</w:t>
      </w:r>
      <w:r w:rsidRPr="007E1576">
        <w:rPr>
          <w:rFonts w:ascii="Times New Roman" w:hAnsi="Times New Roman"/>
          <w:sz w:val="24"/>
          <w:szCs w:val="24"/>
        </w:rPr>
        <w:t> </w:t>
      </w:r>
      <w:r w:rsidRPr="007E1576">
        <w:rPr>
          <w:rFonts w:ascii="Times New Roman" w:hAnsi="Times New Roman"/>
          <w:sz w:val="24"/>
          <w:szCs w:val="24"/>
          <w:lang w:val="ru-RU"/>
        </w:rPr>
        <w:t>академических час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в неделю, включая все виды аудиторной и внеаудиторной (самостоятельной) учебной работы по освоению программы подготовки специалистов среднего звена.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 Максимальный объем аудиторной учебной нагрузки обучающихся при освоении образовательной программы СПО по заочной форме составляет не менее 160 часов в год.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Наименование дисциплин и их группирование по циклам по </w:t>
      </w:r>
      <w:r w:rsidRPr="007E157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плану заочного обучения идентично учебным планам для очного обучения, причем объем часов дисциплин и междисциплинарных курсов составляет до 30% от объема часов очной формы обучения для заочной формы.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Выполнение курсовых работ (проектов) рассматривается как вид учебной деятельности по профессиональным модулям профессионального цикла и реализуется в пределах времени, отведенного на их изучение и в объеме, предусмотренном рабочим учебным планом для очной формы обучения.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В соответствии с учебными планами учебных групп по специальности предусмотрена учебная, производственная практика (по профилю специальности), реализуемая в несколько периодов рассредоточено и производственная (преддипломная) практика реализуемая сконцентрировано.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При заочной форме обучения в образовательных организациях практика реализуется в объеме, предусмотренном для очной формы обучения и реализуется студентами самостоятельно в мастерских базовых предприятий.</w:t>
      </w:r>
    </w:p>
    <w:p w:rsidR="00D45D22" w:rsidRPr="007E1576" w:rsidRDefault="00D45D22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F103E0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Во время проведения учебной и 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производственной практики объем учебной нагрузки составляет 36 часов в неделю, продолжительность рабочего дня составляет для обучающихся от 16 до 18 лет – 6 часов в день, старше 18 лет – до 8 часов в день, что не превышает продолжительность рабочего времени, установленного трудовым законодательством Российской Федерации.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собеседования.  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Преддипломная практика является обязательной для всех обучающихся, проводится после последней сессии и предшествует ГИА. </w:t>
      </w:r>
    </w:p>
    <w:p w:rsidR="002C62B1" w:rsidRPr="007E1576" w:rsidRDefault="00CA6AF8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По дисциплине «Физическая культура» предусматриваются занятия в объеме не менее двух часов, которые проводятся как установочные. </w:t>
      </w:r>
      <w:r w:rsidR="002C62B1" w:rsidRPr="007E1576">
        <w:rPr>
          <w:rFonts w:ascii="Times New Roman" w:hAnsi="Times New Roman"/>
          <w:sz w:val="24"/>
          <w:szCs w:val="24"/>
          <w:lang w:val="ru-RU"/>
        </w:rPr>
        <w:t xml:space="preserve">        Программа дисциплины «Физическая культура» реализуется в течени</w:t>
      </w:r>
      <w:r w:rsidRPr="007E1576">
        <w:rPr>
          <w:rFonts w:ascii="Times New Roman" w:hAnsi="Times New Roman"/>
          <w:sz w:val="24"/>
          <w:szCs w:val="24"/>
          <w:lang w:val="ru-RU"/>
        </w:rPr>
        <w:t>е</w:t>
      </w:r>
      <w:r w:rsidR="002C62B1" w:rsidRPr="007E1576">
        <w:rPr>
          <w:rFonts w:ascii="Times New Roman" w:hAnsi="Times New Roman"/>
          <w:sz w:val="24"/>
          <w:szCs w:val="24"/>
          <w:lang w:val="ru-RU"/>
        </w:rPr>
        <w:t xml:space="preserve"> всего периода обучения и выполняется студентом самостоятельно (за счет различных форм  внеучебных занятий в спор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>тивных клубах, секциях и т. д.)</w:t>
      </w:r>
      <w:r w:rsidR="002C62B1" w:rsidRPr="007E157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72A1" w:rsidRPr="007E1576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4B72A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Консультации для обучающихся </w:t>
      </w:r>
      <w:r w:rsidR="00B85845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4B72A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очной формы обучения предусматриваются из расчёта 4 часа на одного обучающегося на каждый учебный год. Формы проведения консультаций (групповые, индивидуальные, письменные, устные) определяются </w:t>
      </w:r>
      <w:r w:rsidR="00F103E0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в локальных актах</w:t>
      </w:r>
      <w:r w:rsidR="004B72A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2C62B1" w:rsidRPr="007E1576" w:rsidRDefault="00815DCE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</w:t>
      </w:r>
      <w:r w:rsidR="002C62B1"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Общеобразовательный учебный цикл</w:t>
      </w:r>
    </w:p>
    <w:p w:rsidR="00096F4C" w:rsidRPr="007E1576" w:rsidRDefault="00096F4C" w:rsidP="00F10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Общеобразовательный цикл основной профессиональной образовательной программы СПО формируется </w:t>
      </w:r>
      <w:r w:rsidR="00835CC7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 основе требований соответствующих федеральных государственных образовательных стандартов среднего общего образования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</w:t>
      </w:r>
      <w:r w:rsidR="00BF72F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2C62B1" w:rsidRPr="007E1576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освоения программы подготовки специалистов среднего звена. </w:t>
      </w:r>
    </w:p>
    <w:p w:rsidR="0069412A" w:rsidRPr="007E1576" w:rsidRDefault="002C62B1" w:rsidP="00694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Общеобразовательный цикл дисциплин направлен на  технический профиль.</w:t>
      </w:r>
      <w:r w:rsidR="0069412A" w:rsidRPr="007E1576">
        <w:rPr>
          <w:rFonts w:ascii="Times New Roman" w:hAnsi="Times New Roman"/>
          <w:sz w:val="24"/>
          <w:szCs w:val="24"/>
          <w:lang w:val="ru-RU"/>
        </w:rPr>
        <w:t xml:space="preserve"> Общеобразовательный цикл дисциплин реализуется с использованием сетевой формы реализации образовательных программ.</w:t>
      </w:r>
    </w:p>
    <w:p w:rsidR="001F5F61" w:rsidRPr="007E1576" w:rsidRDefault="001F5F61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7E1576" w:rsidRDefault="00815DCE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sz w:val="24"/>
          <w:szCs w:val="24"/>
          <w:lang w:val="ru-RU"/>
        </w:rPr>
        <w:t>4</w:t>
      </w:r>
      <w:r w:rsidR="002C62B1" w:rsidRPr="007E1576">
        <w:rPr>
          <w:rFonts w:ascii="Times New Roman" w:hAnsi="Times New Roman"/>
          <w:b/>
          <w:sz w:val="24"/>
          <w:szCs w:val="24"/>
          <w:lang w:val="ru-RU"/>
        </w:rPr>
        <w:t>. Формирование вариативной части</w:t>
      </w:r>
    </w:p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При формировании 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 xml:space="preserve">ОПОП СПО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был использован весь объем времени, отведенный на</w:t>
      </w:r>
      <w:r w:rsidRPr="007E1576">
        <w:rPr>
          <w:rFonts w:ascii="Times New Roman" w:hAnsi="Times New Roman"/>
          <w:sz w:val="24"/>
          <w:szCs w:val="24"/>
        </w:rPr>
        <w:t> 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вариативную часть циклов </w:t>
      </w:r>
      <w:r w:rsidR="00225566" w:rsidRPr="007E1576">
        <w:rPr>
          <w:rFonts w:ascii="Times New Roman" w:hAnsi="Times New Roman"/>
          <w:sz w:val="24"/>
          <w:szCs w:val="24"/>
          <w:lang w:val="ru-RU"/>
        </w:rPr>
        <w:t xml:space="preserve">255 </w:t>
      </w:r>
      <w:r w:rsidRPr="007E1576">
        <w:rPr>
          <w:rFonts w:ascii="Times New Roman" w:hAnsi="Times New Roman"/>
          <w:sz w:val="24"/>
          <w:szCs w:val="24"/>
          <w:lang w:val="ru-RU"/>
        </w:rPr>
        <w:t>час</w:t>
      </w:r>
      <w:r w:rsidR="00EF5145" w:rsidRPr="007E1576">
        <w:rPr>
          <w:rFonts w:ascii="Times New Roman" w:hAnsi="Times New Roman"/>
          <w:sz w:val="24"/>
          <w:szCs w:val="24"/>
          <w:lang w:val="ru-RU"/>
        </w:rPr>
        <w:t>а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обязательных учебных занятий</w:t>
      </w:r>
      <w:r w:rsidR="00EF5145" w:rsidRPr="007E1576">
        <w:rPr>
          <w:rFonts w:ascii="Times New Roman" w:hAnsi="Times New Roman"/>
          <w:sz w:val="24"/>
          <w:szCs w:val="24"/>
          <w:lang w:val="ru-RU"/>
        </w:rPr>
        <w:t xml:space="preserve"> заочной формы обучения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, 1350 часов максимальной учебной нагрузки. </w:t>
      </w:r>
      <w:r w:rsidR="002A16D9" w:rsidRPr="007E1576">
        <w:rPr>
          <w:rFonts w:ascii="Times New Roman" w:hAnsi="Times New Roman"/>
          <w:sz w:val="24"/>
          <w:szCs w:val="24"/>
          <w:lang w:val="ru-RU"/>
        </w:rPr>
        <w:t>При этом был увеличен объем времени, отведенный на дисциплины и модули обязательной части, а также были введены дисциплины для организации деятельности по профилю специальности. В качестве дисциплин вариативной части студентами изучаются дисциплины:  «Введение в специальность», «Основы нефтегазового производства».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Остальной объем часов вариативной части учебных циклов ППССЗ использован на увеличение времени, отведенный на дисциплины и модули обязательной части профессионального учебн</w:t>
      </w:r>
      <w:r w:rsidR="002A16D9" w:rsidRPr="007E1576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цикл</w:t>
      </w:r>
      <w:r w:rsidR="002A16D9" w:rsidRPr="007E1576">
        <w:rPr>
          <w:rFonts w:ascii="Times New Roman" w:hAnsi="Times New Roman"/>
          <w:sz w:val="24"/>
          <w:szCs w:val="24"/>
          <w:lang w:val="ru-RU"/>
        </w:rPr>
        <w:t>а</w:t>
      </w:r>
      <w:r w:rsidRPr="007E1576">
        <w:rPr>
          <w:rFonts w:ascii="Times New Roman" w:hAnsi="Times New Roman"/>
          <w:sz w:val="24"/>
          <w:szCs w:val="24"/>
          <w:lang w:val="ru-RU"/>
        </w:rPr>
        <w:t>. Распределение вариативной части указано в следующей таблице:</w:t>
      </w:r>
    </w:p>
    <w:p w:rsidR="00225566" w:rsidRPr="007E1576" w:rsidRDefault="00225566" w:rsidP="0022556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sz w:val="24"/>
          <w:szCs w:val="24"/>
          <w:lang w:val="ru-RU"/>
        </w:rPr>
        <w:t>Распределение вариативной части учебных циклов ППССЗ</w:t>
      </w:r>
    </w:p>
    <w:tbl>
      <w:tblPr>
        <w:tblW w:w="5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4800"/>
        <w:gridCol w:w="1134"/>
        <w:gridCol w:w="1134"/>
        <w:gridCol w:w="1134"/>
        <w:gridCol w:w="1134"/>
      </w:tblGrid>
      <w:tr w:rsidR="00EF547E" w:rsidRPr="00835CC7" w:rsidTr="00EF547E">
        <w:trPr>
          <w:jc w:val="center"/>
        </w:trPr>
        <w:tc>
          <w:tcPr>
            <w:tcW w:w="1670" w:type="dxa"/>
            <w:vMerge w:val="restart"/>
            <w:vAlign w:val="center"/>
          </w:tcPr>
          <w:p w:rsidR="00EF547E" w:rsidRPr="007E1576" w:rsidRDefault="00EF547E" w:rsidP="00EF54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4800" w:type="dxa"/>
            <w:vMerge w:val="restart"/>
            <w:vAlign w:val="center"/>
          </w:tcPr>
          <w:p w:rsidR="00EF547E" w:rsidRPr="007E1576" w:rsidRDefault="00EF547E" w:rsidP="00EF54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дисциплин, разделов, модулей, междисциплинарных курсов.</w:t>
            </w:r>
          </w:p>
        </w:tc>
        <w:tc>
          <w:tcPr>
            <w:tcW w:w="2268" w:type="dxa"/>
            <w:gridSpan w:val="2"/>
            <w:vAlign w:val="center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Вариативная часть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учебных циклов ППССЗ</w:t>
            </w:r>
          </w:p>
        </w:tc>
        <w:tc>
          <w:tcPr>
            <w:tcW w:w="1134" w:type="dxa"/>
            <w:vMerge w:val="restart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Обязательная часть учебных циклов ППССЗ (в том числе обязательные учебные занятия при заочной форме обучения) </w:t>
            </w:r>
          </w:p>
        </w:tc>
        <w:tc>
          <w:tcPr>
            <w:tcW w:w="1134" w:type="dxa"/>
            <w:vMerge w:val="restart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>Вариативная и обязательная части учебных циклов ППССЗ (учебные занятия при заочной форме обучения)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Merge/>
            <w:vAlign w:val="center"/>
          </w:tcPr>
          <w:p w:rsidR="00EF547E" w:rsidRPr="00EF547E" w:rsidRDefault="00EF547E" w:rsidP="00EF5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00" w:type="dxa"/>
            <w:vMerge/>
            <w:vAlign w:val="center"/>
          </w:tcPr>
          <w:p w:rsidR="00EF547E" w:rsidRPr="00EF547E" w:rsidRDefault="00EF547E" w:rsidP="00EF5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>Максимальная учебная нагрузка</w:t>
            </w:r>
          </w:p>
        </w:tc>
        <w:tc>
          <w:tcPr>
            <w:tcW w:w="1134" w:type="dxa"/>
            <w:vAlign w:val="center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47E">
              <w:rPr>
                <w:rFonts w:ascii="Times New Roman" w:hAnsi="Times New Roman"/>
                <w:sz w:val="20"/>
                <w:szCs w:val="20"/>
                <w:lang w:val="ru-RU"/>
              </w:rPr>
              <w:t>Обязательные учебные занятия</w:t>
            </w:r>
          </w:p>
        </w:tc>
        <w:tc>
          <w:tcPr>
            <w:tcW w:w="1134" w:type="dxa"/>
            <w:vMerge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47E" w:rsidRPr="007E1576" w:rsidTr="00EF547E">
        <w:trPr>
          <w:jc w:val="center"/>
        </w:trPr>
        <w:tc>
          <w:tcPr>
            <w:tcW w:w="6470" w:type="dxa"/>
            <w:gridSpan w:val="2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Общепрофессиональные</w:t>
            </w:r>
            <w:proofErr w:type="spellEnd"/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дисциплины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</w:tcPr>
          <w:p w:rsidR="00EF547E" w:rsidRPr="00EF547E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260</w:t>
            </w:r>
          </w:p>
        </w:tc>
      </w:tr>
      <w:tr w:rsidR="00EF547E" w:rsidRPr="007E1576" w:rsidTr="00EF547E">
        <w:trPr>
          <w:jc w:val="center"/>
        </w:trPr>
        <w:tc>
          <w:tcPr>
            <w:tcW w:w="6470" w:type="dxa"/>
            <w:gridSpan w:val="2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Вариативная часть использована на увеличение объема времени дисциплин обязательной части: </w:t>
            </w:r>
          </w:p>
        </w:tc>
        <w:tc>
          <w:tcPr>
            <w:tcW w:w="1134" w:type="dxa"/>
            <w:vAlign w:val="center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577</w:t>
            </w:r>
          </w:p>
        </w:tc>
        <w:tc>
          <w:tcPr>
            <w:tcW w:w="1134" w:type="dxa"/>
            <w:vAlign w:val="center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Инженерная графика 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Электротехника и электроника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Метрология, стандартизация и сертификация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ОП.04 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Геология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механика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ОП.06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ОП.07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Основы экономики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ОП.08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ОП.9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ОП.10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Безопасность жизнедеятельности 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EF547E" w:rsidRPr="00EF547E" w:rsidRDefault="00EF5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4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F547E" w:rsidRPr="007E1576" w:rsidTr="00EF547E">
        <w:trPr>
          <w:jc w:val="center"/>
        </w:trPr>
        <w:tc>
          <w:tcPr>
            <w:tcW w:w="6470" w:type="dxa"/>
            <w:gridSpan w:val="2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Введены дисциплины вариативной части:</w:t>
            </w:r>
          </w:p>
        </w:tc>
        <w:tc>
          <w:tcPr>
            <w:tcW w:w="1134" w:type="dxa"/>
            <w:vAlign w:val="center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</w:rPr>
              <w:t>167</w:t>
            </w:r>
          </w:p>
        </w:tc>
        <w:tc>
          <w:tcPr>
            <w:tcW w:w="1134" w:type="dxa"/>
            <w:vAlign w:val="center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F547E" w:rsidRPr="00957D74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34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ОП.11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«Введение в специальность»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ОП.12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«Основы нефтегазового производства»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EF547E" w:rsidRPr="007E1576" w:rsidTr="00EF547E">
        <w:trPr>
          <w:jc w:val="center"/>
        </w:trPr>
        <w:tc>
          <w:tcPr>
            <w:tcW w:w="6470" w:type="dxa"/>
            <w:gridSpan w:val="2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606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335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462</w:t>
            </w:r>
          </w:p>
        </w:tc>
      </w:tr>
      <w:tr w:rsidR="00EF547E" w:rsidRPr="00EF547E" w:rsidTr="00EF547E">
        <w:trPr>
          <w:jc w:val="center"/>
        </w:trPr>
        <w:tc>
          <w:tcPr>
            <w:tcW w:w="6470" w:type="dxa"/>
            <w:gridSpan w:val="2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Вариативная часть использована на увеличение объема времени  модулей  обязательной части:</w:t>
            </w:r>
          </w:p>
        </w:tc>
        <w:tc>
          <w:tcPr>
            <w:tcW w:w="1134" w:type="dxa"/>
            <w:vAlign w:val="center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606</w:t>
            </w:r>
          </w:p>
        </w:tc>
        <w:tc>
          <w:tcPr>
            <w:tcW w:w="1134" w:type="dxa"/>
            <w:vAlign w:val="center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127</w:t>
            </w:r>
          </w:p>
        </w:tc>
        <w:tc>
          <w:tcPr>
            <w:tcW w:w="1134" w:type="dxa"/>
          </w:tcPr>
          <w:p w:rsidR="00EF547E" w:rsidRPr="00957D74" w:rsidRDefault="00E55E83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341</w:t>
            </w:r>
          </w:p>
        </w:tc>
        <w:tc>
          <w:tcPr>
            <w:tcW w:w="1134" w:type="dxa"/>
          </w:tcPr>
          <w:p w:rsidR="00EF547E" w:rsidRPr="00957D74" w:rsidRDefault="00957D74" w:rsidP="00E55E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46</w:t>
            </w:r>
            <w:r w:rsidR="00E55E8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Проведение буровых работ в соответствии с технологическим регламентом 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бурения нефтяных и газовых скважин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ПМ.02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Обслуживание и эксплуатация бурового оборудования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МДК.02.01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Эксплуатация бурового оборудования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ПМ.03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Организация деятельности коллектива исполнителей 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МДК.03.01</w:t>
            </w: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Основы организации и планирования производственных работ на буровой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EF547E" w:rsidRPr="007E1576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</w:tcPr>
          <w:p w:rsidR="00EF547E" w:rsidRPr="00957D74" w:rsidRDefault="00957D74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D74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E55E83" w:rsidRPr="00E55E83" w:rsidTr="00EF547E">
        <w:trPr>
          <w:jc w:val="center"/>
        </w:trPr>
        <w:tc>
          <w:tcPr>
            <w:tcW w:w="1670" w:type="dxa"/>
            <w:vAlign w:val="center"/>
          </w:tcPr>
          <w:p w:rsidR="00E55E83" w:rsidRPr="007E1576" w:rsidRDefault="00E55E83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ПМ.04</w:t>
            </w:r>
          </w:p>
        </w:tc>
        <w:tc>
          <w:tcPr>
            <w:tcW w:w="4800" w:type="dxa"/>
            <w:vAlign w:val="center"/>
          </w:tcPr>
          <w:p w:rsidR="00E55E83" w:rsidRPr="007E1576" w:rsidRDefault="00E55E83" w:rsidP="00EF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E8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профессии Бурильщик эксплуатационного и разведочного бурения скважин на нефть и газ</w:t>
            </w:r>
          </w:p>
        </w:tc>
        <w:tc>
          <w:tcPr>
            <w:tcW w:w="1134" w:type="dxa"/>
            <w:vAlign w:val="center"/>
          </w:tcPr>
          <w:p w:rsidR="00E55E83" w:rsidRPr="007E1576" w:rsidRDefault="00E55E83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55E83" w:rsidRPr="007E1576" w:rsidRDefault="00E55E83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55E83" w:rsidRDefault="00E55E83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E55E83" w:rsidRPr="00957D74" w:rsidRDefault="00E55E83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F547E" w:rsidRPr="007E1576" w:rsidTr="00EF547E">
        <w:trPr>
          <w:jc w:val="center"/>
        </w:trPr>
        <w:tc>
          <w:tcPr>
            <w:tcW w:w="167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  <w:r w:rsidRPr="007E157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профессиональный цикл):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1350</w:t>
            </w:r>
          </w:p>
        </w:tc>
        <w:tc>
          <w:tcPr>
            <w:tcW w:w="1134" w:type="dxa"/>
            <w:vAlign w:val="center"/>
          </w:tcPr>
          <w:p w:rsidR="00EF547E" w:rsidRPr="007E1576" w:rsidRDefault="00EF547E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EF547E" w:rsidRPr="00957D74" w:rsidRDefault="00957D74" w:rsidP="00E55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E55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</w:tcPr>
          <w:p w:rsidR="00EF547E" w:rsidRPr="00957D74" w:rsidRDefault="00957D74" w:rsidP="00E55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  <w:r w:rsidR="00E55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225566" w:rsidRPr="007E1576" w:rsidRDefault="00225566" w:rsidP="0022556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Обязательная часть учебных циклов ППССЗ определена следующим образом.</w:t>
      </w:r>
    </w:p>
    <w:p w:rsidR="00225566" w:rsidRPr="007E1576" w:rsidRDefault="00225566" w:rsidP="0022556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sz w:val="24"/>
          <w:szCs w:val="24"/>
          <w:lang w:val="ru-RU"/>
        </w:rPr>
        <w:t>Распределение обязательной части учебных циклов ППССЗ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5652"/>
        <w:gridCol w:w="1247"/>
        <w:gridCol w:w="1247"/>
      </w:tblGrid>
      <w:tr w:rsidR="00225566" w:rsidRPr="007E1576" w:rsidTr="00EF547E">
        <w:trPr>
          <w:jc w:val="center"/>
        </w:trPr>
        <w:tc>
          <w:tcPr>
            <w:tcW w:w="1672" w:type="dxa"/>
            <w:vAlign w:val="center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5652" w:type="dxa"/>
            <w:vAlign w:val="center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дисциплин, разделов, модулей, междисциплинарных курсов.</w:t>
            </w:r>
          </w:p>
        </w:tc>
        <w:tc>
          <w:tcPr>
            <w:tcW w:w="1247" w:type="dxa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1247" w:type="dxa"/>
            <w:vAlign w:val="center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Обязательные учебные занятия</w:t>
            </w:r>
          </w:p>
        </w:tc>
      </w:tr>
      <w:tr w:rsidR="00225566" w:rsidRPr="007E1576" w:rsidTr="00EF547E">
        <w:trPr>
          <w:jc w:val="center"/>
        </w:trPr>
        <w:tc>
          <w:tcPr>
            <w:tcW w:w="7324" w:type="dxa"/>
            <w:gridSpan w:val="2"/>
          </w:tcPr>
          <w:p w:rsidR="00225566" w:rsidRPr="007E1576" w:rsidRDefault="00225566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Профессиональный цикл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2394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7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</w:tr>
      <w:tr w:rsidR="00225566" w:rsidRPr="007E1576" w:rsidTr="00EF547E">
        <w:trPr>
          <w:jc w:val="center"/>
        </w:trPr>
        <w:tc>
          <w:tcPr>
            <w:tcW w:w="7324" w:type="dxa"/>
            <w:gridSpan w:val="2"/>
          </w:tcPr>
          <w:p w:rsidR="00225566" w:rsidRPr="007E1576" w:rsidRDefault="00225566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Общепрофессиональные дисциплины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768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225566" w:rsidRPr="007E1576" w:rsidTr="00EF547E">
        <w:trPr>
          <w:jc w:val="center"/>
        </w:trPr>
        <w:tc>
          <w:tcPr>
            <w:tcW w:w="7324" w:type="dxa"/>
            <w:gridSpan w:val="2"/>
          </w:tcPr>
          <w:p w:rsidR="00225566" w:rsidRPr="007E1576" w:rsidRDefault="00225566" w:rsidP="00EF5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Профессиональные модули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576">
              <w:rPr>
                <w:rFonts w:ascii="Times New Roman" w:hAnsi="Times New Roman"/>
                <w:sz w:val="24"/>
                <w:szCs w:val="24"/>
                <w:lang w:val="ru-RU"/>
              </w:rPr>
              <w:t>1626</w:t>
            </w:r>
          </w:p>
        </w:tc>
        <w:tc>
          <w:tcPr>
            <w:tcW w:w="1247" w:type="dxa"/>
            <w:vAlign w:val="bottom"/>
          </w:tcPr>
          <w:p w:rsidR="00225566" w:rsidRPr="007E1576" w:rsidRDefault="00225566" w:rsidP="00EF54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</w:t>
            </w:r>
          </w:p>
        </w:tc>
      </w:tr>
    </w:tbl>
    <w:p w:rsidR="002C62B1" w:rsidRPr="007E1576" w:rsidRDefault="002C62B1" w:rsidP="00F10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4B72A1" w:rsidRPr="007E1576" w:rsidRDefault="004B72A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5.  Формы проведения промежуточной аттестации</w:t>
      </w:r>
    </w:p>
    <w:p w:rsidR="004B72A1" w:rsidRPr="007E1576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Основными формами промежуточной аттестации являются: экзамен, зачет, комплексный зачет по практике,  дифференцированный зачет, экзамен (квалификационный) по модулю. Зачет по учебной дисциплине, междисциплинарному курсу, подготовка и защита курсовой работы (проекта) проводятся за счет объема времени, отводимого на изучение учебной дисциплины, междисциплинарного курса.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За период обучения предусмотрено выполнение двух курсовых проектов по ПМ.01</w:t>
      </w:r>
      <w:r w:rsidRPr="007E1576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9412A"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Проведение буровых работ в соответствии с технологическим регламентом  </w:t>
      </w:r>
      <w:r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и</w:t>
      </w: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ПМ.03 </w:t>
      </w:r>
      <w:r w:rsidRPr="007E1576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Организация деятельности коллектива исполнителей </w:t>
      </w:r>
    </w:p>
    <w:p w:rsidR="004B72A1" w:rsidRPr="007E1576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Конкретные формы и процедуры промежуточной аттестации по каждой дисциплине, профессиональному модулю, видам практики доводятся до сведения студентов в период проведения установочной сессии.</w:t>
      </w:r>
    </w:p>
    <w:p w:rsidR="004B72A1" w:rsidRPr="007E1576" w:rsidRDefault="004B72A1" w:rsidP="00694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>Формы и методы контроля и оценки результатов обучения по каждой дисциплине, профессиональному модулю, видам практики определены рабочей программой. Фонды оценочных средств разрабатываются и утверждаются образовательным учреждением.</w:t>
      </w:r>
    </w:p>
    <w:p w:rsidR="004B72A1" w:rsidRPr="007E1576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Количество экзаменов в учебном году должно быть не более восьми, а количество зачетов - 10 (без учета зачетов по физической культуре). В день проведения экзамена не должны планироваться другие виды учебной деятельности.</w:t>
      </w:r>
    </w:p>
    <w:p w:rsidR="004B72A1" w:rsidRPr="007E1576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До промежуточной аттестации допускаются обучающие, сдавшие домашние контрольные и курсовые работы (проекты).</w:t>
      </w:r>
    </w:p>
    <w:p w:rsidR="004B72A1" w:rsidRPr="007E1576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По профессио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 xml:space="preserve">нальным модулям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форм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</w:t>
      </w:r>
      <w:r w:rsidR="00F103E0" w:rsidRPr="007E1576">
        <w:rPr>
          <w:rFonts w:ascii="Times New Roman" w:hAnsi="Times New Roman"/>
          <w:sz w:val="24"/>
          <w:szCs w:val="24"/>
          <w:lang w:val="ru-RU"/>
        </w:rPr>
        <w:t>является экзамен квалификационный</w:t>
      </w:r>
      <w:r w:rsidRPr="007E1576">
        <w:rPr>
          <w:rFonts w:ascii="Times New Roman" w:hAnsi="Times New Roman"/>
          <w:sz w:val="24"/>
          <w:szCs w:val="24"/>
          <w:lang w:val="ru-RU"/>
        </w:rPr>
        <w:t xml:space="preserve">. Данный экзамен проводится в рамках весенней </w:t>
      </w:r>
      <w:proofErr w:type="spellStart"/>
      <w:r w:rsidRPr="007E1576">
        <w:rPr>
          <w:rFonts w:ascii="Times New Roman" w:hAnsi="Times New Roman"/>
          <w:sz w:val="24"/>
          <w:szCs w:val="24"/>
          <w:lang w:val="ru-RU"/>
        </w:rPr>
        <w:t>экзаменационно</w:t>
      </w:r>
      <w:proofErr w:type="spellEnd"/>
      <w:r w:rsidRPr="007E1576">
        <w:rPr>
          <w:rFonts w:ascii="Times New Roman" w:hAnsi="Times New Roman"/>
          <w:sz w:val="24"/>
          <w:szCs w:val="24"/>
          <w:lang w:val="ru-RU"/>
        </w:rPr>
        <w:t xml:space="preserve"> - лабораторной сессии на последнем семестре обучения.</w:t>
      </w:r>
    </w:p>
    <w:p w:rsidR="00B85845" w:rsidRPr="007E1576" w:rsidRDefault="004B72A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1576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B85845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проведении экзамена, дифференцированного зачета уровень подготовки обучающегося оценивается в баллах: 5 (отлично); 4 (хорошо); 3 (удовлетворительно); 2 (неудовлетворительно). При проведении недифференцированного зачета уровень подготовки обучающегося оценивается по форме «зачтено».</w:t>
      </w:r>
    </w:p>
    <w:p w:rsidR="004B72A1" w:rsidRPr="007E1576" w:rsidRDefault="004B72A1" w:rsidP="00F103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7E1576" w:rsidRDefault="00F103E0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sz w:val="24"/>
          <w:szCs w:val="24"/>
          <w:lang w:val="ru-RU"/>
        </w:rPr>
        <w:t>6.</w:t>
      </w:r>
      <w:r w:rsidR="002C62B1" w:rsidRPr="007E1576">
        <w:rPr>
          <w:rFonts w:ascii="Times New Roman" w:hAnsi="Times New Roman"/>
          <w:b/>
          <w:sz w:val="24"/>
          <w:szCs w:val="24"/>
          <w:lang w:val="ru-RU"/>
        </w:rPr>
        <w:t xml:space="preserve"> Формы проведения государственной (итоговой) аттестации</w:t>
      </w:r>
    </w:p>
    <w:p w:rsidR="00EE08A3" w:rsidRPr="007E1576" w:rsidRDefault="0000565E" w:rsidP="00F103E0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 w:rsidRPr="007E1576">
        <w:rPr>
          <w:rStyle w:val="c2"/>
          <w:color w:val="000000"/>
        </w:rPr>
        <w:t xml:space="preserve">      </w:t>
      </w:r>
      <w:r w:rsidR="00EE08A3" w:rsidRPr="007E1576">
        <w:rPr>
          <w:rStyle w:val="c2"/>
          <w:color w:val="000000"/>
        </w:rPr>
        <w:t>Государственная (итоговая) аттестация включает подготовку и защиту выпускной квалификационной работы (дипломный проект).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  <w:r w:rsidRPr="007E1576">
        <w:rPr>
          <w:rStyle w:val="c2"/>
          <w:color w:val="000000"/>
        </w:rPr>
        <w:t xml:space="preserve"> </w:t>
      </w:r>
    </w:p>
    <w:p w:rsidR="002C62B1" w:rsidRPr="007E1576" w:rsidRDefault="001F5F61" w:rsidP="00F103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2C62B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Государственную (итоговую) аттестацию выделяется 6 недель. Государственная итоговая аттестация включает в себя подготовку (4 </w:t>
      </w:r>
      <w:proofErr w:type="spellStart"/>
      <w:r w:rsidR="002C62B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.) и защиту дипломной работы (2 </w:t>
      </w:r>
      <w:proofErr w:type="spellStart"/>
      <w:r w:rsidR="002C62B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7E1576">
        <w:rPr>
          <w:rFonts w:ascii="Times New Roman" w:hAnsi="Times New Roman"/>
          <w:color w:val="000000" w:themeColor="text1"/>
          <w:sz w:val="24"/>
          <w:szCs w:val="24"/>
          <w:lang w:val="ru-RU"/>
        </w:rPr>
        <w:t>.), тематика которого соответствует тематике одного или нескольких профессиональных модулей.</w:t>
      </w:r>
      <w:r w:rsidR="002C62B1" w:rsidRPr="007E1576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</w:t>
      </w:r>
    </w:p>
    <w:p w:rsidR="002C62B1" w:rsidRPr="007E1576" w:rsidRDefault="002C62B1" w:rsidP="00F10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62B1" w:rsidRPr="007E1576" w:rsidRDefault="001C1778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1576">
        <w:rPr>
          <w:rFonts w:ascii="Times New Roman" w:hAnsi="Times New Roman"/>
          <w:b/>
          <w:sz w:val="24"/>
          <w:szCs w:val="24"/>
          <w:lang w:val="ru-RU"/>
        </w:rPr>
        <w:t>7</w:t>
      </w:r>
      <w:r w:rsidR="002C62B1" w:rsidRPr="007E157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103E0" w:rsidRPr="007E1576">
        <w:rPr>
          <w:rFonts w:ascii="Times New Roman" w:hAnsi="Times New Roman"/>
          <w:b/>
          <w:sz w:val="24"/>
          <w:szCs w:val="24"/>
          <w:lang w:val="ru-RU"/>
        </w:rPr>
        <w:t xml:space="preserve">Материально-техническая база, обеспечивающая реализацию </w:t>
      </w:r>
      <w:r w:rsidRPr="007E1576">
        <w:rPr>
          <w:rFonts w:ascii="Times New Roman" w:hAnsi="Times New Roman"/>
          <w:b/>
          <w:sz w:val="24"/>
          <w:szCs w:val="24"/>
          <w:lang w:val="ru-RU"/>
        </w:rPr>
        <w:t xml:space="preserve">требований </w:t>
      </w:r>
      <w:r w:rsidR="00F103E0" w:rsidRPr="007E1576">
        <w:rPr>
          <w:rFonts w:ascii="Times New Roman" w:hAnsi="Times New Roman"/>
          <w:b/>
          <w:sz w:val="24"/>
          <w:szCs w:val="24"/>
          <w:lang w:val="ru-RU"/>
        </w:rPr>
        <w:t>ФГОС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5023"/>
        <w:gridCol w:w="3639"/>
      </w:tblGrid>
      <w:tr w:rsidR="0069412A" w:rsidRPr="00835CC7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23" w:type="dxa"/>
          </w:tcPr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кабинетов, </w:t>
            </w:r>
          </w:p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лабораторий, мастерских и др.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Номера кабинетов,</w:t>
            </w:r>
          </w:p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лабораторий, </w:t>
            </w:r>
          </w:p>
          <w:p w:rsidR="0069412A" w:rsidRPr="007E1576" w:rsidRDefault="0069412A" w:rsidP="00EF5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мастерских и др.</w:t>
            </w:r>
          </w:p>
        </w:tc>
      </w:tr>
      <w:tr w:rsidR="0069412A" w:rsidRPr="007E1576" w:rsidTr="00EF547E">
        <w:trPr>
          <w:trHeight w:val="276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лаборатория технологии бурения нефтяных и газовых скважин, общепрофессиональных дисциплин, электротехники и электроники; метрологии, стандартизации и сертификации; технической механики; материаловедения; испытания материалов; правового обеспечения и правовых основ профессиональной деятельности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01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Стрелковыйтир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№1,2</w:t>
            </w:r>
          </w:p>
        </w:tc>
      </w:tr>
      <w:tr w:rsidR="0069412A" w:rsidRPr="007E1576" w:rsidTr="00EF547E">
        <w:trPr>
          <w:trHeight w:val="161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разработки эксплуатации нефтяных и газовых месторождений, экологических основ природопользования; безопасности жизнедеятельности и охрана труда; повышения нефтеотдачи пластов, капитального ремонта скважин; общегуманитарных и социально-экономических дисциплин; иностранного языка, математики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№ 04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pStyle w:val="a7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Кабинет – лаборатория сооружения и эксплуатации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газонефтепроводов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газонефтехранилищ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информатики, информационных технологий в профессиональной деятельности; </w:t>
            </w:r>
          </w:p>
          <w:p w:rsidR="0069412A" w:rsidRPr="007E1576" w:rsidRDefault="0069412A" w:rsidP="00EF54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геологии, экономики и бухгалтерского учета, налогообложения и аудита; статистики; финансов, денежного обращения и кредита; экономики организации; основ экономики; менеджмента; документационного обеспечения управления; экономической теории; теории бухгалтерского учета; анализа финансово-хозяйственной деятельности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№ 05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Кабинет- лаборатория технологии бурения нефтяных и газовых скважин, автоматизации производственных и технологических процессов,  имитации процессов бурения, основ нефтегазового производства.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№ 10</w:t>
            </w:r>
          </w:p>
        </w:tc>
      </w:tr>
      <w:tr w:rsidR="0069412A" w:rsidRPr="007E1576" w:rsidTr="00EF547E">
        <w:trPr>
          <w:trHeight w:val="1354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информатики и информационных технологий в профессиональной деятельности, учебной бухгалтерии, имитации процессов бурения, повышения нефтеотдачи пластов, капитального ремонта скважин, освоения, электронного тренажера-имитатора АМТ411, АМТ231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№ 22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охраны труда, нефтегазопромыслового и бурового оборудования, основ нефтегазового производства, ОБЖ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информатики и информационных технологий в профессиональной деятельности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№32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тренажера-имитатора бурения при проводке скважины АМТ-231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33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повышения нефтеотдачи пластов, капитального ремонта скважин, освоения, тренажера-имитатора АМТ-411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37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Кабинет общеобразовательных дисциплин и инженерной графики 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41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</w:tr>
      <w:tr w:rsidR="0069412A" w:rsidRPr="00835CC7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Слесарная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Мастерские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базовых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9412A" w:rsidRPr="007E1576" w:rsidRDefault="0069412A" w:rsidP="00EF54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4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с ограниченной ответственностью «Буровые системы»</w:t>
            </w:r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7E1576" w:rsidTr="00EF547E">
        <w:trPr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Библиотека, читальный зал с выходом в сеть Интернет</w:t>
            </w:r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</w:tr>
      <w:tr w:rsidR="0069412A" w:rsidRPr="007E1576" w:rsidTr="00EF547E">
        <w:trPr>
          <w:trHeight w:val="551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7E1576" w:rsidTr="00EF547E">
        <w:trPr>
          <w:trHeight w:val="551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нефтегазопромыслового</w:t>
            </w:r>
            <w:proofErr w:type="spellEnd"/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639" w:type="dxa"/>
          </w:tcPr>
          <w:p w:rsidR="0069412A" w:rsidRPr="007E1576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576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</w:p>
        </w:tc>
      </w:tr>
      <w:tr w:rsidR="0069412A" w:rsidRPr="00835CC7" w:rsidTr="00EF547E">
        <w:trPr>
          <w:trHeight w:val="551"/>
          <w:jc w:val="center"/>
        </w:trPr>
        <w:tc>
          <w:tcPr>
            <w:tcW w:w="1191" w:type="dxa"/>
          </w:tcPr>
          <w:p w:rsidR="0069412A" w:rsidRPr="007E1576" w:rsidRDefault="0069412A" w:rsidP="00EF54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7E1576" w:rsidRDefault="0069412A" w:rsidP="00EF547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3639" w:type="dxa"/>
          </w:tcPr>
          <w:p w:rsidR="0069412A" w:rsidRPr="0063044D" w:rsidRDefault="0069412A" w:rsidP="00EF547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E15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</w:tbl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C62B1" w:rsidRPr="00846FE3" w:rsidSect="00BC3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570"/>
    <w:multiLevelType w:val="hybridMultilevel"/>
    <w:tmpl w:val="E98E92C8"/>
    <w:lvl w:ilvl="0" w:tplc="84900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552BEF"/>
    <w:multiLevelType w:val="multilevel"/>
    <w:tmpl w:val="7B2A606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F7233E3"/>
    <w:multiLevelType w:val="hybridMultilevel"/>
    <w:tmpl w:val="7E3EA22C"/>
    <w:lvl w:ilvl="0" w:tplc="E8EE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132B"/>
    <w:rsid w:val="00001BC0"/>
    <w:rsid w:val="0000565E"/>
    <w:rsid w:val="00022721"/>
    <w:rsid w:val="000359FE"/>
    <w:rsid w:val="00041FCC"/>
    <w:rsid w:val="000435B5"/>
    <w:rsid w:val="00044B3F"/>
    <w:rsid w:val="000518EA"/>
    <w:rsid w:val="0006027D"/>
    <w:rsid w:val="00067F48"/>
    <w:rsid w:val="00081ADD"/>
    <w:rsid w:val="000826F8"/>
    <w:rsid w:val="000851C5"/>
    <w:rsid w:val="00090F46"/>
    <w:rsid w:val="00095C42"/>
    <w:rsid w:val="00096573"/>
    <w:rsid w:val="00096F4C"/>
    <w:rsid w:val="000B1136"/>
    <w:rsid w:val="000C1450"/>
    <w:rsid w:val="000C2E5D"/>
    <w:rsid w:val="000C2EB5"/>
    <w:rsid w:val="000C61C8"/>
    <w:rsid w:val="000C741C"/>
    <w:rsid w:val="000C7C68"/>
    <w:rsid w:val="000D1D0D"/>
    <w:rsid w:val="000D1D39"/>
    <w:rsid w:val="000D5565"/>
    <w:rsid w:val="000E3DFE"/>
    <w:rsid w:val="000E485A"/>
    <w:rsid w:val="000F6D14"/>
    <w:rsid w:val="001019DF"/>
    <w:rsid w:val="001063B2"/>
    <w:rsid w:val="001067AF"/>
    <w:rsid w:val="0011643F"/>
    <w:rsid w:val="001204F2"/>
    <w:rsid w:val="001222A5"/>
    <w:rsid w:val="001444CF"/>
    <w:rsid w:val="001473F2"/>
    <w:rsid w:val="001532F4"/>
    <w:rsid w:val="00155DE3"/>
    <w:rsid w:val="00164F07"/>
    <w:rsid w:val="00176DC8"/>
    <w:rsid w:val="00180D98"/>
    <w:rsid w:val="00181FE6"/>
    <w:rsid w:val="00183336"/>
    <w:rsid w:val="00186648"/>
    <w:rsid w:val="00197005"/>
    <w:rsid w:val="001A7199"/>
    <w:rsid w:val="001B3072"/>
    <w:rsid w:val="001B662F"/>
    <w:rsid w:val="001B725E"/>
    <w:rsid w:val="001C1778"/>
    <w:rsid w:val="001C26C2"/>
    <w:rsid w:val="001C4750"/>
    <w:rsid w:val="001D2A25"/>
    <w:rsid w:val="001D6DB2"/>
    <w:rsid w:val="001E47B1"/>
    <w:rsid w:val="001E686C"/>
    <w:rsid w:val="001F232F"/>
    <w:rsid w:val="001F3196"/>
    <w:rsid w:val="001F33DB"/>
    <w:rsid w:val="001F36AC"/>
    <w:rsid w:val="001F5F61"/>
    <w:rsid w:val="002238A5"/>
    <w:rsid w:val="00225566"/>
    <w:rsid w:val="00236B81"/>
    <w:rsid w:val="002410B9"/>
    <w:rsid w:val="002418D4"/>
    <w:rsid w:val="002547B8"/>
    <w:rsid w:val="002616A7"/>
    <w:rsid w:val="0026468C"/>
    <w:rsid w:val="00265ED0"/>
    <w:rsid w:val="002827D1"/>
    <w:rsid w:val="0028512D"/>
    <w:rsid w:val="00285D96"/>
    <w:rsid w:val="002869FC"/>
    <w:rsid w:val="00293F94"/>
    <w:rsid w:val="00293FAB"/>
    <w:rsid w:val="002A16D9"/>
    <w:rsid w:val="002A42E0"/>
    <w:rsid w:val="002B0A32"/>
    <w:rsid w:val="002B2023"/>
    <w:rsid w:val="002C1347"/>
    <w:rsid w:val="002C1ADB"/>
    <w:rsid w:val="002C3905"/>
    <w:rsid w:val="002C5420"/>
    <w:rsid w:val="002C62B1"/>
    <w:rsid w:val="002C75FF"/>
    <w:rsid w:val="002D0503"/>
    <w:rsid w:val="002D6CF6"/>
    <w:rsid w:val="002E4E6D"/>
    <w:rsid w:val="003055E7"/>
    <w:rsid w:val="003066EE"/>
    <w:rsid w:val="0032461B"/>
    <w:rsid w:val="00333389"/>
    <w:rsid w:val="003467EC"/>
    <w:rsid w:val="003573C6"/>
    <w:rsid w:val="0037164D"/>
    <w:rsid w:val="0037193F"/>
    <w:rsid w:val="00381B6D"/>
    <w:rsid w:val="003853DB"/>
    <w:rsid w:val="00392C32"/>
    <w:rsid w:val="00396B06"/>
    <w:rsid w:val="00396B9B"/>
    <w:rsid w:val="00396D6E"/>
    <w:rsid w:val="003A0084"/>
    <w:rsid w:val="003A2B0C"/>
    <w:rsid w:val="003B4C63"/>
    <w:rsid w:val="003C2893"/>
    <w:rsid w:val="003C739E"/>
    <w:rsid w:val="003C7F47"/>
    <w:rsid w:val="003E4588"/>
    <w:rsid w:val="003E47BC"/>
    <w:rsid w:val="003E5CE4"/>
    <w:rsid w:val="00402F3E"/>
    <w:rsid w:val="0041088F"/>
    <w:rsid w:val="004136A6"/>
    <w:rsid w:val="004210DF"/>
    <w:rsid w:val="00424ABD"/>
    <w:rsid w:val="0043633B"/>
    <w:rsid w:val="00451DB2"/>
    <w:rsid w:val="00464557"/>
    <w:rsid w:val="004654B2"/>
    <w:rsid w:val="00470B79"/>
    <w:rsid w:val="0047343D"/>
    <w:rsid w:val="00475656"/>
    <w:rsid w:val="0048069D"/>
    <w:rsid w:val="00482FBF"/>
    <w:rsid w:val="00483C10"/>
    <w:rsid w:val="004841C7"/>
    <w:rsid w:val="00490F4A"/>
    <w:rsid w:val="004A00DB"/>
    <w:rsid w:val="004B72A1"/>
    <w:rsid w:val="004D2599"/>
    <w:rsid w:val="004D2B60"/>
    <w:rsid w:val="004E5AB3"/>
    <w:rsid w:val="004F2520"/>
    <w:rsid w:val="005060A1"/>
    <w:rsid w:val="00512B03"/>
    <w:rsid w:val="0051542C"/>
    <w:rsid w:val="00521FF9"/>
    <w:rsid w:val="0052306D"/>
    <w:rsid w:val="00535262"/>
    <w:rsid w:val="00535B02"/>
    <w:rsid w:val="0055075E"/>
    <w:rsid w:val="005545C8"/>
    <w:rsid w:val="00556353"/>
    <w:rsid w:val="00557101"/>
    <w:rsid w:val="005610B1"/>
    <w:rsid w:val="00571D27"/>
    <w:rsid w:val="00575A86"/>
    <w:rsid w:val="00576ABF"/>
    <w:rsid w:val="00577400"/>
    <w:rsid w:val="005947BA"/>
    <w:rsid w:val="00596288"/>
    <w:rsid w:val="005A681C"/>
    <w:rsid w:val="005B0985"/>
    <w:rsid w:val="005B294D"/>
    <w:rsid w:val="005B5227"/>
    <w:rsid w:val="005B6796"/>
    <w:rsid w:val="005C110A"/>
    <w:rsid w:val="005C1DD4"/>
    <w:rsid w:val="005C3C4B"/>
    <w:rsid w:val="005C410A"/>
    <w:rsid w:val="005D3A13"/>
    <w:rsid w:val="005D6831"/>
    <w:rsid w:val="005E0AC6"/>
    <w:rsid w:val="005E122D"/>
    <w:rsid w:val="005E7A78"/>
    <w:rsid w:val="005F1024"/>
    <w:rsid w:val="005F424F"/>
    <w:rsid w:val="005F68FE"/>
    <w:rsid w:val="005F7894"/>
    <w:rsid w:val="0060490E"/>
    <w:rsid w:val="0061217C"/>
    <w:rsid w:val="006122A8"/>
    <w:rsid w:val="00613B85"/>
    <w:rsid w:val="0062295B"/>
    <w:rsid w:val="006238DC"/>
    <w:rsid w:val="00627688"/>
    <w:rsid w:val="00642065"/>
    <w:rsid w:val="00651144"/>
    <w:rsid w:val="00651CEC"/>
    <w:rsid w:val="0066534D"/>
    <w:rsid w:val="00670C32"/>
    <w:rsid w:val="006848EE"/>
    <w:rsid w:val="0069412A"/>
    <w:rsid w:val="0069611D"/>
    <w:rsid w:val="00697BCD"/>
    <w:rsid w:val="006A158E"/>
    <w:rsid w:val="006A5D63"/>
    <w:rsid w:val="006B1629"/>
    <w:rsid w:val="006B4393"/>
    <w:rsid w:val="006C24CC"/>
    <w:rsid w:val="006D239D"/>
    <w:rsid w:val="006D3E24"/>
    <w:rsid w:val="006D7868"/>
    <w:rsid w:val="006E6C7F"/>
    <w:rsid w:val="006E778C"/>
    <w:rsid w:val="0070132B"/>
    <w:rsid w:val="00707278"/>
    <w:rsid w:val="00717F5A"/>
    <w:rsid w:val="007213E0"/>
    <w:rsid w:val="00725D09"/>
    <w:rsid w:val="0072620C"/>
    <w:rsid w:val="007329E1"/>
    <w:rsid w:val="00741DF7"/>
    <w:rsid w:val="0074354F"/>
    <w:rsid w:val="00751291"/>
    <w:rsid w:val="00755A4D"/>
    <w:rsid w:val="00764160"/>
    <w:rsid w:val="00764752"/>
    <w:rsid w:val="00775F4F"/>
    <w:rsid w:val="00777A6E"/>
    <w:rsid w:val="007871F7"/>
    <w:rsid w:val="007951C9"/>
    <w:rsid w:val="00797845"/>
    <w:rsid w:val="007A690E"/>
    <w:rsid w:val="007B24C0"/>
    <w:rsid w:val="007B2F28"/>
    <w:rsid w:val="007B3236"/>
    <w:rsid w:val="007B428B"/>
    <w:rsid w:val="007B4BB2"/>
    <w:rsid w:val="007B72F1"/>
    <w:rsid w:val="007C649B"/>
    <w:rsid w:val="007C686E"/>
    <w:rsid w:val="007D4DA3"/>
    <w:rsid w:val="007D5A4B"/>
    <w:rsid w:val="007E1576"/>
    <w:rsid w:val="007E5C25"/>
    <w:rsid w:val="007E6AA8"/>
    <w:rsid w:val="007E7802"/>
    <w:rsid w:val="007F580D"/>
    <w:rsid w:val="007F6577"/>
    <w:rsid w:val="007F6A06"/>
    <w:rsid w:val="008050AC"/>
    <w:rsid w:val="0080593D"/>
    <w:rsid w:val="00815DCE"/>
    <w:rsid w:val="00817F5D"/>
    <w:rsid w:val="00820BC5"/>
    <w:rsid w:val="00831561"/>
    <w:rsid w:val="00835827"/>
    <w:rsid w:val="00835CC7"/>
    <w:rsid w:val="0083717D"/>
    <w:rsid w:val="00841B8B"/>
    <w:rsid w:val="008426D5"/>
    <w:rsid w:val="00842BD2"/>
    <w:rsid w:val="00842E71"/>
    <w:rsid w:val="00844554"/>
    <w:rsid w:val="00846FE3"/>
    <w:rsid w:val="00861E1F"/>
    <w:rsid w:val="008622C1"/>
    <w:rsid w:val="00866255"/>
    <w:rsid w:val="008713D1"/>
    <w:rsid w:val="00875CBE"/>
    <w:rsid w:val="00880362"/>
    <w:rsid w:val="00880ED2"/>
    <w:rsid w:val="008818C6"/>
    <w:rsid w:val="0088657F"/>
    <w:rsid w:val="00886A3E"/>
    <w:rsid w:val="008902BF"/>
    <w:rsid w:val="0089285B"/>
    <w:rsid w:val="008B2643"/>
    <w:rsid w:val="008B52F5"/>
    <w:rsid w:val="008C3CB9"/>
    <w:rsid w:val="008D14FF"/>
    <w:rsid w:val="008D2242"/>
    <w:rsid w:val="008E3AF8"/>
    <w:rsid w:val="00901742"/>
    <w:rsid w:val="009021BE"/>
    <w:rsid w:val="00904FE0"/>
    <w:rsid w:val="009115DF"/>
    <w:rsid w:val="0092512B"/>
    <w:rsid w:val="00925F97"/>
    <w:rsid w:val="00945EE5"/>
    <w:rsid w:val="00946E76"/>
    <w:rsid w:val="00955A82"/>
    <w:rsid w:val="00957D74"/>
    <w:rsid w:val="0097220E"/>
    <w:rsid w:val="0097420A"/>
    <w:rsid w:val="009829CD"/>
    <w:rsid w:val="00991228"/>
    <w:rsid w:val="0099799E"/>
    <w:rsid w:val="009A184F"/>
    <w:rsid w:val="009B300B"/>
    <w:rsid w:val="009C5BD1"/>
    <w:rsid w:val="009D797B"/>
    <w:rsid w:val="009E165B"/>
    <w:rsid w:val="009E3149"/>
    <w:rsid w:val="009F01DD"/>
    <w:rsid w:val="009F6731"/>
    <w:rsid w:val="00A06DE1"/>
    <w:rsid w:val="00A0765E"/>
    <w:rsid w:val="00A07949"/>
    <w:rsid w:val="00A12758"/>
    <w:rsid w:val="00A27119"/>
    <w:rsid w:val="00A34983"/>
    <w:rsid w:val="00A54165"/>
    <w:rsid w:val="00A54484"/>
    <w:rsid w:val="00A63702"/>
    <w:rsid w:val="00A65237"/>
    <w:rsid w:val="00A674BC"/>
    <w:rsid w:val="00A74920"/>
    <w:rsid w:val="00A77CB1"/>
    <w:rsid w:val="00A83280"/>
    <w:rsid w:val="00A94DFA"/>
    <w:rsid w:val="00A96BAC"/>
    <w:rsid w:val="00AA3D69"/>
    <w:rsid w:val="00AC0EE9"/>
    <w:rsid w:val="00AD4795"/>
    <w:rsid w:val="00AF4C41"/>
    <w:rsid w:val="00AF64C1"/>
    <w:rsid w:val="00AF73AC"/>
    <w:rsid w:val="00B01FE2"/>
    <w:rsid w:val="00B12A17"/>
    <w:rsid w:val="00B17729"/>
    <w:rsid w:val="00B17AE9"/>
    <w:rsid w:val="00B257D3"/>
    <w:rsid w:val="00B52D8C"/>
    <w:rsid w:val="00B61D51"/>
    <w:rsid w:val="00B648D2"/>
    <w:rsid w:val="00B71E0D"/>
    <w:rsid w:val="00B72F75"/>
    <w:rsid w:val="00B76A96"/>
    <w:rsid w:val="00B8013B"/>
    <w:rsid w:val="00B80D3C"/>
    <w:rsid w:val="00B84358"/>
    <w:rsid w:val="00B84731"/>
    <w:rsid w:val="00B85845"/>
    <w:rsid w:val="00B91596"/>
    <w:rsid w:val="00BA54D2"/>
    <w:rsid w:val="00BB12CF"/>
    <w:rsid w:val="00BB4F12"/>
    <w:rsid w:val="00BB58CD"/>
    <w:rsid w:val="00BB6CC2"/>
    <w:rsid w:val="00BB741F"/>
    <w:rsid w:val="00BC393F"/>
    <w:rsid w:val="00BD64FC"/>
    <w:rsid w:val="00BE5D6F"/>
    <w:rsid w:val="00BE65DE"/>
    <w:rsid w:val="00BF0843"/>
    <w:rsid w:val="00BF7092"/>
    <w:rsid w:val="00BF72F1"/>
    <w:rsid w:val="00C12622"/>
    <w:rsid w:val="00C22EC0"/>
    <w:rsid w:val="00C2411F"/>
    <w:rsid w:val="00C44C94"/>
    <w:rsid w:val="00C4703F"/>
    <w:rsid w:val="00C510D3"/>
    <w:rsid w:val="00C54F83"/>
    <w:rsid w:val="00C61219"/>
    <w:rsid w:val="00C63F6B"/>
    <w:rsid w:val="00C83B54"/>
    <w:rsid w:val="00C83FF4"/>
    <w:rsid w:val="00C84899"/>
    <w:rsid w:val="00C8563C"/>
    <w:rsid w:val="00C94D55"/>
    <w:rsid w:val="00CA0FF8"/>
    <w:rsid w:val="00CA68EF"/>
    <w:rsid w:val="00CA6AF8"/>
    <w:rsid w:val="00CB0FD3"/>
    <w:rsid w:val="00CC1609"/>
    <w:rsid w:val="00CD6EE5"/>
    <w:rsid w:val="00CE0BEA"/>
    <w:rsid w:val="00CE1050"/>
    <w:rsid w:val="00CE38D3"/>
    <w:rsid w:val="00D04429"/>
    <w:rsid w:val="00D055C7"/>
    <w:rsid w:val="00D12059"/>
    <w:rsid w:val="00D147EA"/>
    <w:rsid w:val="00D14C9E"/>
    <w:rsid w:val="00D200F5"/>
    <w:rsid w:val="00D3380A"/>
    <w:rsid w:val="00D338F0"/>
    <w:rsid w:val="00D439C7"/>
    <w:rsid w:val="00D45246"/>
    <w:rsid w:val="00D45D22"/>
    <w:rsid w:val="00D45F69"/>
    <w:rsid w:val="00D505C0"/>
    <w:rsid w:val="00D600AB"/>
    <w:rsid w:val="00D64EC9"/>
    <w:rsid w:val="00D677B7"/>
    <w:rsid w:val="00D7363F"/>
    <w:rsid w:val="00D77389"/>
    <w:rsid w:val="00D81D4C"/>
    <w:rsid w:val="00D8596D"/>
    <w:rsid w:val="00D8611E"/>
    <w:rsid w:val="00D944EE"/>
    <w:rsid w:val="00D9539C"/>
    <w:rsid w:val="00D97184"/>
    <w:rsid w:val="00DA5B1F"/>
    <w:rsid w:val="00DB5D8E"/>
    <w:rsid w:val="00DC1D15"/>
    <w:rsid w:val="00DC6F68"/>
    <w:rsid w:val="00DD06B9"/>
    <w:rsid w:val="00DD334D"/>
    <w:rsid w:val="00DE0693"/>
    <w:rsid w:val="00DE2B48"/>
    <w:rsid w:val="00DE3CFD"/>
    <w:rsid w:val="00DF32C5"/>
    <w:rsid w:val="00E002FF"/>
    <w:rsid w:val="00E003BA"/>
    <w:rsid w:val="00E01E76"/>
    <w:rsid w:val="00E12580"/>
    <w:rsid w:val="00E1439F"/>
    <w:rsid w:val="00E17F0A"/>
    <w:rsid w:val="00E21110"/>
    <w:rsid w:val="00E2561F"/>
    <w:rsid w:val="00E33B50"/>
    <w:rsid w:val="00E454FE"/>
    <w:rsid w:val="00E45A65"/>
    <w:rsid w:val="00E52181"/>
    <w:rsid w:val="00E55E83"/>
    <w:rsid w:val="00E6384D"/>
    <w:rsid w:val="00E64EBA"/>
    <w:rsid w:val="00E6567E"/>
    <w:rsid w:val="00E65EDD"/>
    <w:rsid w:val="00E66749"/>
    <w:rsid w:val="00E66EEE"/>
    <w:rsid w:val="00E71F14"/>
    <w:rsid w:val="00E73FA0"/>
    <w:rsid w:val="00E81191"/>
    <w:rsid w:val="00E825D4"/>
    <w:rsid w:val="00E95E9F"/>
    <w:rsid w:val="00EA5036"/>
    <w:rsid w:val="00EB4A67"/>
    <w:rsid w:val="00EB5498"/>
    <w:rsid w:val="00EC178B"/>
    <w:rsid w:val="00EC30E9"/>
    <w:rsid w:val="00ED1136"/>
    <w:rsid w:val="00EE08A3"/>
    <w:rsid w:val="00EE2B0F"/>
    <w:rsid w:val="00EE4142"/>
    <w:rsid w:val="00EF5145"/>
    <w:rsid w:val="00EF547E"/>
    <w:rsid w:val="00EF6F20"/>
    <w:rsid w:val="00EF7BFE"/>
    <w:rsid w:val="00F00429"/>
    <w:rsid w:val="00F03392"/>
    <w:rsid w:val="00F052DE"/>
    <w:rsid w:val="00F103E0"/>
    <w:rsid w:val="00F11213"/>
    <w:rsid w:val="00F23528"/>
    <w:rsid w:val="00F3066A"/>
    <w:rsid w:val="00F312A2"/>
    <w:rsid w:val="00F44066"/>
    <w:rsid w:val="00F47134"/>
    <w:rsid w:val="00F504F2"/>
    <w:rsid w:val="00F550B0"/>
    <w:rsid w:val="00F6179B"/>
    <w:rsid w:val="00F708E1"/>
    <w:rsid w:val="00F734B7"/>
    <w:rsid w:val="00F80D38"/>
    <w:rsid w:val="00F8129F"/>
    <w:rsid w:val="00F8437D"/>
    <w:rsid w:val="00F85074"/>
    <w:rsid w:val="00F93EE3"/>
    <w:rsid w:val="00FA2A9F"/>
    <w:rsid w:val="00FA5CBE"/>
    <w:rsid w:val="00FA672B"/>
    <w:rsid w:val="00FB0D2E"/>
    <w:rsid w:val="00FC73DD"/>
    <w:rsid w:val="00FE1A0F"/>
    <w:rsid w:val="00FE1F3B"/>
    <w:rsid w:val="00FF039B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27688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27688"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276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27688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27688"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276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27688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27688"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276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688"/>
    <w:rPr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semiHidden/>
    <w:locked/>
    <w:rsid w:val="00627688"/>
    <w:rPr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27688"/>
    <w:rPr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27688"/>
    <w:rPr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27688"/>
    <w:rPr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627688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627688"/>
    <w:rPr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627688"/>
    <w:rPr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627688"/>
    <w:rPr>
      <w:b/>
      <w:i/>
      <w:color w:val="7F7F7F"/>
      <w:sz w:val="18"/>
    </w:rPr>
  </w:style>
  <w:style w:type="character" w:styleId="a3">
    <w:name w:val="Hyperlink"/>
    <w:uiPriority w:val="99"/>
    <w:rsid w:val="004A00D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616A7"/>
    <w:pPr>
      <w:widowControl w:val="0"/>
      <w:autoSpaceDE w:val="0"/>
      <w:autoSpaceDN w:val="0"/>
      <w:adjustRightInd w:val="0"/>
    </w:pPr>
    <w:rPr>
      <w:rFonts w:cs="Arial"/>
      <w:b/>
      <w:bCs/>
      <w:sz w:val="16"/>
      <w:szCs w:val="16"/>
      <w:lang w:val="en-US"/>
    </w:rPr>
  </w:style>
  <w:style w:type="paragraph" w:styleId="a4">
    <w:name w:val="List Paragraph"/>
    <w:basedOn w:val="a"/>
    <w:uiPriority w:val="99"/>
    <w:qFormat/>
    <w:rsid w:val="00627688"/>
    <w:pPr>
      <w:ind w:left="720"/>
      <w:contextualSpacing/>
    </w:pPr>
  </w:style>
  <w:style w:type="character" w:customStyle="1" w:styleId="ff32">
    <w:name w:val="ff32"/>
    <w:uiPriority w:val="99"/>
    <w:rsid w:val="000C2E5D"/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99"/>
    <w:qFormat/>
    <w:rsid w:val="00627688"/>
    <w:rPr>
      <w:i/>
      <w:iCs/>
      <w:smallCaps/>
      <w:spacing w:val="10"/>
      <w:sz w:val="28"/>
      <w:szCs w:val="28"/>
      <w:lang w:val="ru-RU" w:eastAsia="ru-RU"/>
    </w:rPr>
  </w:style>
  <w:style w:type="character" w:customStyle="1" w:styleId="a6">
    <w:name w:val="Подзаголовок Знак"/>
    <w:link w:val="a5"/>
    <w:uiPriority w:val="99"/>
    <w:locked/>
    <w:rsid w:val="00627688"/>
    <w:rPr>
      <w:i/>
      <w:smallCaps/>
      <w:spacing w:val="10"/>
      <w:sz w:val="28"/>
    </w:rPr>
  </w:style>
  <w:style w:type="paragraph" w:styleId="a7">
    <w:name w:val="Title"/>
    <w:basedOn w:val="a"/>
    <w:next w:val="a"/>
    <w:link w:val="a8"/>
    <w:uiPriority w:val="99"/>
    <w:qFormat/>
    <w:rsid w:val="00627688"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character" w:customStyle="1" w:styleId="a8">
    <w:name w:val="Название Знак"/>
    <w:link w:val="a7"/>
    <w:uiPriority w:val="99"/>
    <w:locked/>
    <w:rsid w:val="00627688"/>
    <w:rPr>
      <w:smallCaps/>
      <w:sz w:val="52"/>
    </w:rPr>
  </w:style>
  <w:style w:type="paragraph" w:customStyle="1" w:styleId="Default">
    <w:name w:val="Default"/>
    <w:uiPriority w:val="99"/>
    <w:rsid w:val="00B17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7951C9"/>
    <w:pPr>
      <w:spacing w:after="255"/>
    </w:pPr>
    <w:rPr>
      <w:sz w:val="24"/>
      <w:szCs w:val="24"/>
    </w:rPr>
  </w:style>
  <w:style w:type="character" w:styleId="aa">
    <w:name w:val="Strong"/>
    <w:uiPriority w:val="99"/>
    <w:qFormat/>
    <w:rsid w:val="00627688"/>
    <w:rPr>
      <w:rFonts w:cs="Times New Roman"/>
      <w:b/>
    </w:rPr>
  </w:style>
  <w:style w:type="character" w:styleId="ab">
    <w:name w:val="Emphasis"/>
    <w:uiPriority w:val="99"/>
    <w:qFormat/>
    <w:rsid w:val="00627688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627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627688"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627688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627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link w:val="ad"/>
    <w:uiPriority w:val="99"/>
    <w:locked/>
    <w:rsid w:val="00627688"/>
    <w:rPr>
      <w:i/>
    </w:rPr>
  </w:style>
  <w:style w:type="character" w:styleId="af">
    <w:name w:val="Subtle Emphasis"/>
    <w:uiPriority w:val="99"/>
    <w:qFormat/>
    <w:rsid w:val="00627688"/>
    <w:rPr>
      <w:i/>
    </w:rPr>
  </w:style>
  <w:style w:type="character" w:styleId="af0">
    <w:name w:val="Intense Emphasis"/>
    <w:uiPriority w:val="99"/>
    <w:qFormat/>
    <w:rsid w:val="00627688"/>
    <w:rPr>
      <w:b/>
      <w:i/>
    </w:rPr>
  </w:style>
  <w:style w:type="character" w:styleId="af1">
    <w:name w:val="Subtle Reference"/>
    <w:uiPriority w:val="99"/>
    <w:qFormat/>
    <w:rsid w:val="00627688"/>
    <w:rPr>
      <w:smallCaps/>
    </w:rPr>
  </w:style>
  <w:style w:type="character" w:styleId="af2">
    <w:name w:val="Intense Reference"/>
    <w:uiPriority w:val="99"/>
    <w:qFormat/>
    <w:rsid w:val="00627688"/>
    <w:rPr>
      <w:b/>
      <w:smallCaps/>
    </w:rPr>
  </w:style>
  <w:style w:type="character" w:styleId="af3">
    <w:name w:val="Book Title"/>
    <w:uiPriority w:val="99"/>
    <w:qFormat/>
    <w:rsid w:val="00627688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27688"/>
    <w:pPr>
      <w:outlineLvl w:val="9"/>
    </w:pPr>
  </w:style>
  <w:style w:type="table" w:styleId="af5">
    <w:name w:val="Table Grid"/>
    <w:basedOn w:val="a1"/>
    <w:uiPriority w:val="99"/>
    <w:rsid w:val="001E47B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6848EE"/>
  </w:style>
  <w:style w:type="paragraph" w:styleId="af6">
    <w:name w:val="Body Text Indent"/>
    <w:basedOn w:val="a"/>
    <w:link w:val="af7"/>
    <w:uiPriority w:val="99"/>
    <w:rsid w:val="00DE3CFD"/>
    <w:pPr>
      <w:spacing w:after="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DE3CFD"/>
    <w:rPr>
      <w:rFonts w:ascii="Times New Roman" w:hAnsi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DE3CFD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F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03392"/>
    <w:rPr>
      <w:rFonts w:ascii="Segoe UI" w:hAnsi="Segoe UI" w:cs="Segoe UI"/>
      <w:sz w:val="18"/>
      <w:szCs w:val="18"/>
      <w:lang w:val="en-US" w:eastAsia="en-US"/>
    </w:rPr>
  </w:style>
  <w:style w:type="character" w:customStyle="1" w:styleId="c2">
    <w:name w:val="c2"/>
    <w:rsid w:val="00E1439F"/>
  </w:style>
  <w:style w:type="paragraph" w:customStyle="1" w:styleId="c21">
    <w:name w:val="c21"/>
    <w:basedOn w:val="a"/>
    <w:rsid w:val="00EE0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0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4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10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8B92-9CA3-4143-8E1E-9581A466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1885</Words>
  <Characters>14214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Волохин</dc:creator>
  <cp:keywords/>
  <dc:description/>
  <cp:lastModifiedBy>Методист</cp:lastModifiedBy>
  <cp:revision>16</cp:revision>
  <cp:lastPrinted>2018-05-10T13:20:00Z</cp:lastPrinted>
  <dcterms:created xsi:type="dcterms:W3CDTF">2018-05-11T10:29:00Z</dcterms:created>
  <dcterms:modified xsi:type="dcterms:W3CDTF">2001-01-01T01:37:00Z</dcterms:modified>
</cp:coreProperties>
</file>