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7E157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7E1576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№48</w:t>
      </w:r>
      <w:r w:rsidR="002A16D9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F103E0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7E1576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32924</w:t>
      </w:r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30 </w:t>
      </w:r>
      <w:r w:rsidR="0089285B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я 2014 года</w:t>
      </w:r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2A16D9"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</w:t>
      </w:r>
      <w:r w:rsidR="0089285B"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2A16D9"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Бурение нефтяных и газовых скважин</w:t>
      </w:r>
      <w:r w:rsidR="0089285B"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7E1576">
        <w:rPr>
          <w:rFonts w:ascii="Times New Roman" w:hAnsi="Times New Roman"/>
          <w:sz w:val="24"/>
          <w:szCs w:val="24"/>
        </w:rPr>
        <w:t>No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7E1576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7E1576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7E1576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7E1576">
        <w:rPr>
          <w:rFonts w:ascii="Times New Roman" w:hAnsi="Times New Roman"/>
          <w:sz w:val="24"/>
          <w:szCs w:val="24"/>
          <w:lang w:val="ru-RU"/>
        </w:rPr>
        <w:t>4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7E1576">
        <w:rPr>
          <w:rFonts w:ascii="Times New Roman" w:hAnsi="Times New Roman"/>
          <w:sz w:val="24"/>
          <w:szCs w:val="24"/>
          <w:lang w:val="ru-RU"/>
        </w:rPr>
        <w:t>251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7E1576">
        <w:rPr>
          <w:rFonts w:ascii="Times New Roman" w:hAnsi="Times New Roman"/>
          <w:sz w:val="24"/>
          <w:szCs w:val="24"/>
          <w:lang w:val="ru-RU"/>
        </w:rPr>
        <w:t>я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- </w:t>
      </w:r>
      <w:r w:rsidR="005F7894">
        <w:rPr>
          <w:rFonts w:ascii="Times New Roman" w:hAnsi="Times New Roman"/>
          <w:color w:val="000000"/>
          <w:sz w:val="24"/>
          <w:szCs w:val="24"/>
          <w:lang w:val="ru-RU"/>
        </w:rPr>
        <w:t>4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 (по профилю специальности) –  2</w:t>
      </w:r>
      <w:r w:rsidR="005F7894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bookmarkStart w:id="0" w:name="_GoBack"/>
      <w:bookmarkEnd w:id="0"/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7E1576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7E1576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7E157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7E1576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7E1576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7E1576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7E157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7E1576">
        <w:rPr>
          <w:rFonts w:ascii="Times New Roman" w:hAnsi="Times New Roman"/>
          <w:sz w:val="24"/>
          <w:szCs w:val="24"/>
        </w:rPr>
        <w:t> </w:t>
      </w:r>
      <w:r w:rsidRPr="007E1576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7E1576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7E1576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7E1576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7E1576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7E1576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7E1576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7E157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7E157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7E157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096F4C" w:rsidRPr="007E1576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835CC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2C62B1" w:rsidRPr="007E157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69412A" w:rsidRPr="007E1576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  <w:r w:rsidR="0069412A" w:rsidRPr="007E1576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7E1576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7E1576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7E1576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7E1576">
        <w:rPr>
          <w:rFonts w:ascii="Times New Roman" w:hAnsi="Times New Roman"/>
          <w:sz w:val="24"/>
          <w:szCs w:val="24"/>
        </w:rPr>
        <w:t> 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225566" w:rsidRPr="007E1576">
        <w:rPr>
          <w:rFonts w:ascii="Times New Roman" w:hAnsi="Times New Roman"/>
          <w:sz w:val="24"/>
          <w:szCs w:val="24"/>
          <w:lang w:val="ru-RU"/>
        </w:rPr>
        <w:t xml:space="preserve">255 </w:t>
      </w:r>
      <w:r w:rsidRPr="007E1576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7E1576">
        <w:rPr>
          <w:rFonts w:ascii="Times New Roman" w:hAnsi="Times New Roman"/>
          <w:sz w:val="24"/>
          <w:szCs w:val="24"/>
          <w:lang w:val="ru-RU"/>
        </w:rPr>
        <w:t>а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7E1576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7E1576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студентами изучаются дисциплины:  «Введение в специальность», «Основы нефтегазового производства».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7E1576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7E1576">
        <w:rPr>
          <w:rFonts w:ascii="Times New Roman" w:hAnsi="Times New Roman"/>
          <w:sz w:val="24"/>
          <w:szCs w:val="24"/>
          <w:lang w:val="ru-RU"/>
        </w:rPr>
        <w:t>а</w:t>
      </w:r>
      <w:r w:rsidRPr="007E1576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225566" w:rsidRPr="007E1576" w:rsidRDefault="00225566" w:rsidP="0022556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4800"/>
        <w:gridCol w:w="1134"/>
        <w:gridCol w:w="1134"/>
        <w:gridCol w:w="1134"/>
        <w:gridCol w:w="1134"/>
      </w:tblGrid>
      <w:tr w:rsidR="00EF547E" w:rsidRPr="00835CC7" w:rsidTr="00EF547E">
        <w:trPr>
          <w:jc w:val="center"/>
        </w:trPr>
        <w:tc>
          <w:tcPr>
            <w:tcW w:w="1670" w:type="dxa"/>
            <w:vMerge w:val="restart"/>
            <w:vAlign w:val="center"/>
          </w:tcPr>
          <w:p w:rsidR="00EF547E" w:rsidRPr="007E1576" w:rsidRDefault="00EF547E" w:rsidP="00EF5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800" w:type="dxa"/>
            <w:vMerge w:val="restart"/>
            <w:vAlign w:val="center"/>
          </w:tcPr>
          <w:p w:rsidR="00EF547E" w:rsidRPr="007E1576" w:rsidRDefault="00EF547E" w:rsidP="00EF54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268" w:type="dxa"/>
            <w:gridSpan w:val="2"/>
            <w:vAlign w:val="center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134" w:type="dxa"/>
            <w:vMerge w:val="restart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1134" w:type="dxa"/>
            <w:vMerge w:val="restart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Merge/>
            <w:vAlign w:val="center"/>
          </w:tcPr>
          <w:p w:rsidR="00EF547E" w:rsidRPr="00EF547E" w:rsidRDefault="00EF547E" w:rsidP="00EF5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0" w:type="dxa"/>
            <w:vMerge/>
            <w:vAlign w:val="center"/>
          </w:tcPr>
          <w:p w:rsidR="00EF547E" w:rsidRPr="00EF547E" w:rsidRDefault="00EF547E" w:rsidP="00EF5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134" w:type="dxa"/>
            <w:vMerge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547E" w:rsidRPr="007E1576" w:rsidTr="00EF547E">
        <w:trPr>
          <w:jc w:val="center"/>
        </w:trPr>
        <w:tc>
          <w:tcPr>
            <w:tcW w:w="6470" w:type="dxa"/>
            <w:gridSpan w:val="2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1134" w:type="dxa"/>
          </w:tcPr>
          <w:p w:rsidR="00EF547E" w:rsidRPr="00EF547E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</w:p>
        </w:tc>
      </w:tr>
      <w:tr w:rsidR="00EF547E" w:rsidRPr="007E1576" w:rsidTr="00EF547E">
        <w:trPr>
          <w:jc w:val="center"/>
        </w:trPr>
        <w:tc>
          <w:tcPr>
            <w:tcW w:w="6470" w:type="dxa"/>
            <w:gridSpan w:val="2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1134" w:type="dxa"/>
            <w:vAlign w:val="center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577</w:t>
            </w:r>
          </w:p>
        </w:tc>
        <w:tc>
          <w:tcPr>
            <w:tcW w:w="1134" w:type="dxa"/>
            <w:vAlign w:val="center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134" w:type="dxa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226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EF547E" w:rsidRPr="00EF547E" w:rsidRDefault="00EF54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47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F547E" w:rsidRPr="007E1576" w:rsidTr="00EF547E">
        <w:trPr>
          <w:jc w:val="center"/>
        </w:trPr>
        <w:tc>
          <w:tcPr>
            <w:tcW w:w="6470" w:type="dxa"/>
            <w:gridSpan w:val="2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134" w:type="dxa"/>
            <w:vAlign w:val="center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center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EF547E" w:rsidRPr="00957D74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EF547E" w:rsidRPr="007E1576" w:rsidTr="00EF547E">
        <w:trPr>
          <w:jc w:val="center"/>
        </w:trPr>
        <w:tc>
          <w:tcPr>
            <w:tcW w:w="6470" w:type="dxa"/>
            <w:gridSpan w:val="2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606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335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462</w:t>
            </w:r>
          </w:p>
        </w:tc>
      </w:tr>
      <w:tr w:rsidR="00EF547E" w:rsidRPr="00EF547E" w:rsidTr="00EF547E">
        <w:trPr>
          <w:jc w:val="center"/>
        </w:trPr>
        <w:tc>
          <w:tcPr>
            <w:tcW w:w="6470" w:type="dxa"/>
            <w:gridSpan w:val="2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 модулей  обязательной части:</w:t>
            </w:r>
          </w:p>
        </w:tc>
        <w:tc>
          <w:tcPr>
            <w:tcW w:w="1134" w:type="dxa"/>
            <w:vAlign w:val="center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606</w:t>
            </w:r>
          </w:p>
        </w:tc>
        <w:tc>
          <w:tcPr>
            <w:tcW w:w="1134" w:type="dxa"/>
            <w:vAlign w:val="center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127</w:t>
            </w:r>
          </w:p>
        </w:tc>
        <w:tc>
          <w:tcPr>
            <w:tcW w:w="1134" w:type="dxa"/>
          </w:tcPr>
          <w:p w:rsidR="00EF547E" w:rsidRPr="00957D74" w:rsidRDefault="00E55E83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341</w:t>
            </w:r>
          </w:p>
        </w:tc>
        <w:tc>
          <w:tcPr>
            <w:tcW w:w="1134" w:type="dxa"/>
          </w:tcPr>
          <w:p w:rsidR="00EF547E" w:rsidRPr="00957D74" w:rsidRDefault="00957D74" w:rsidP="00E55E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46</w:t>
            </w:r>
            <w:r w:rsidR="00E55E8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Проведение буровых работ в соответствии с технологическим регламентом 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245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EF547E" w:rsidRPr="007E1576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</w:tcPr>
          <w:p w:rsidR="00EF547E" w:rsidRPr="00957D74" w:rsidRDefault="00957D74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D74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55E83" w:rsidRPr="00E55E83" w:rsidTr="00EF547E">
        <w:trPr>
          <w:jc w:val="center"/>
        </w:trPr>
        <w:tc>
          <w:tcPr>
            <w:tcW w:w="1670" w:type="dxa"/>
            <w:vAlign w:val="center"/>
          </w:tcPr>
          <w:p w:rsidR="00E55E83" w:rsidRPr="007E1576" w:rsidRDefault="00E55E83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800" w:type="dxa"/>
            <w:vAlign w:val="center"/>
          </w:tcPr>
          <w:p w:rsidR="00E55E83" w:rsidRPr="007E1576" w:rsidRDefault="00E55E83" w:rsidP="00EF5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E8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  <w:tc>
          <w:tcPr>
            <w:tcW w:w="1134" w:type="dxa"/>
            <w:vAlign w:val="center"/>
          </w:tcPr>
          <w:p w:rsidR="00E55E83" w:rsidRPr="007E1576" w:rsidRDefault="00E55E83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55E83" w:rsidRPr="007E1576" w:rsidRDefault="00E55E83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E55E83" w:rsidRDefault="00E55E83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E55E83" w:rsidRPr="00957D74" w:rsidRDefault="00E55E83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EF547E" w:rsidRPr="007E1576" w:rsidTr="00EF547E">
        <w:trPr>
          <w:jc w:val="center"/>
        </w:trPr>
        <w:tc>
          <w:tcPr>
            <w:tcW w:w="167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 w:rsidRPr="007E157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цикл):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134" w:type="dxa"/>
            <w:vAlign w:val="center"/>
          </w:tcPr>
          <w:p w:rsidR="00EF547E" w:rsidRPr="007E1576" w:rsidRDefault="00EF547E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EF547E" w:rsidRPr="00957D74" w:rsidRDefault="00957D74" w:rsidP="00E5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E55E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</w:tcPr>
          <w:p w:rsidR="00EF547E" w:rsidRPr="00957D74" w:rsidRDefault="00957D74" w:rsidP="00E5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</w:t>
            </w:r>
            <w:r w:rsidR="00E55E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225566" w:rsidRPr="007E1576" w:rsidRDefault="00225566" w:rsidP="0022556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Обязательная часть учебных циклов ППССЗ определена следующим образом.</w:t>
      </w:r>
    </w:p>
    <w:p w:rsidR="00225566" w:rsidRPr="007E1576" w:rsidRDefault="00225566" w:rsidP="0022556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5652"/>
        <w:gridCol w:w="1247"/>
        <w:gridCol w:w="1247"/>
      </w:tblGrid>
      <w:tr w:rsidR="00225566" w:rsidRPr="007E1576" w:rsidTr="00EF547E">
        <w:trPr>
          <w:jc w:val="center"/>
        </w:trPr>
        <w:tc>
          <w:tcPr>
            <w:tcW w:w="1672" w:type="dxa"/>
            <w:vAlign w:val="center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652" w:type="dxa"/>
            <w:vAlign w:val="center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47" w:type="dxa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47" w:type="dxa"/>
            <w:vAlign w:val="center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225566" w:rsidRPr="007E1576" w:rsidTr="00EF547E">
        <w:trPr>
          <w:jc w:val="center"/>
        </w:trPr>
        <w:tc>
          <w:tcPr>
            <w:tcW w:w="7324" w:type="dxa"/>
            <w:gridSpan w:val="2"/>
          </w:tcPr>
          <w:p w:rsidR="00225566" w:rsidRPr="007E1576" w:rsidRDefault="00225566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2394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576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225566" w:rsidRPr="007E1576" w:rsidTr="00EF547E">
        <w:trPr>
          <w:jc w:val="center"/>
        </w:trPr>
        <w:tc>
          <w:tcPr>
            <w:tcW w:w="7324" w:type="dxa"/>
            <w:gridSpan w:val="2"/>
          </w:tcPr>
          <w:p w:rsidR="00225566" w:rsidRPr="007E1576" w:rsidRDefault="00225566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</w:tr>
      <w:tr w:rsidR="00225566" w:rsidRPr="007E1576" w:rsidTr="00EF547E">
        <w:trPr>
          <w:jc w:val="center"/>
        </w:trPr>
        <w:tc>
          <w:tcPr>
            <w:tcW w:w="7324" w:type="dxa"/>
            <w:gridSpan w:val="2"/>
          </w:tcPr>
          <w:p w:rsidR="00225566" w:rsidRPr="007E1576" w:rsidRDefault="00225566" w:rsidP="00EF5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576">
              <w:rPr>
                <w:rFonts w:ascii="Times New Roman" w:hAnsi="Times New Roman"/>
                <w:sz w:val="24"/>
                <w:szCs w:val="24"/>
                <w:lang w:val="ru-RU"/>
              </w:rPr>
              <w:t>1626</w:t>
            </w:r>
          </w:p>
        </w:tc>
        <w:tc>
          <w:tcPr>
            <w:tcW w:w="1247" w:type="dxa"/>
            <w:vAlign w:val="bottom"/>
          </w:tcPr>
          <w:p w:rsidR="00225566" w:rsidRPr="007E1576" w:rsidRDefault="00225566" w:rsidP="00EF54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5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341</w:t>
            </w:r>
          </w:p>
        </w:tc>
      </w:tr>
    </w:tbl>
    <w:p w:rsidR="002C62B1" w:rsidRPr="007E1576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7E1576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7E157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7E157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9412A"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Проведение буровых работ в соответствии с технологическим регламентом  </w:t>
      </w: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7E157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7E157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7E1576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7E1576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7E1576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7E1576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По профессио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7E1576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7E1576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7E1576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7E1576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7E157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E1576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7E1576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7E1576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7E1576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7E1576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7E1576">
        <w:rPr>
          <w:rStyle w:val="c2"/>
          <w:color w:val="000000"/>
        </w:rPr>
        <w:t xml:space="preserve">      </w:t>
      </w:r>
      <w:r w:rsidR="00EE08A3" w:rsidRPr="007E1576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7E1576">
        <w:rPr>
          <w:rStyle w:val="c2"/>
          <w:color w:val="000000"/>
        </w:rPr>
        <w:t xml:space="preserve"> </w:t>
      </w:r>
    </w:p>
    <w:p w:rsidR="002C62B1" w:rsidRPr="007E1576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7E1576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7E1576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7E1576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7E1576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576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7E157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7E1576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7E1576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7E1576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5023"/>
        <w:gridCol w:w="3639"/>
      </w:tblGrid>
      <w:tr w:rsidR="0069412A" w:rsidRPr="00835CC7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9412A" w:rsidRPr="007E1576" w:rsidRDefault="0069412A" w:rsidP="00EF5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9412A" w:rsidRPr="007E1576" w:rsidTr="00EF547E">
        <w:trPr>
          <w:trHeight w:val="276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Стрелковыйтир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9412A" w:rsidRPr="007E1576" w:rsidTr="00EF547E">
        <w:trPr>
          <w:trHeight w:val="161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9412A" w:rsidRPr="007E1576" w:rsidRDefault="0069412A" w:rsidP="00EF54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Кабинет-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9412A" w:rsidRPr="007E1576" w:rsidTr="00EF547E">
        <w:trPr>
          <w:trHeight w:val="1354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9412A" w:rsidRPr="00835CC7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9412A" w:rsidRPr="007E1576" w:rsidRDefault="0069412A" w:rsidP="00EF5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7E1576" w:rsidTr="00EF547E">
        <w:trPr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9412A" w:rsidRPr="007E1576" w:rsidTr="00EF547E">
        <w:trPr>
          <w:trHeight w:val="551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9412A" w:rsidRPr="007E1576" w:rsidTr="00EF547E">
        <w:trPr>
          <w:trHeight w:val="551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9412A" w:rsidRPr="007E1576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157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9412A" w:rsidRPr="00835CC7" w:rsidTr="00EF547E">
        <w:trPr>
          <w:trHeight w:val="551"/>
          <w:jc w:val="center"/>
        </w:trPr>
        <w:tc>
          <w:tcPr>
            <w:tcW w:w="1191" w:type="dxa"/>
          </w:tcPr>
          <w:p w:rsidR="0069412A" w:rsidRPr="007E1576" w:rsidRDefault="0069412A" w:rsidP="00EF54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9412A" w:rsidRPr="007E1576" w:rsidRDefault="0069412A" w:rsidP="00EF547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9412A" w:rsidRPr="0063044D" w:rsidRDefault="0069412A" w:rsidP="00EF54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7E157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1450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25566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5F7894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1576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5CC7"/>
    <w:rsid w:val="0083717D"/>
    <w:rsid w:val="00841B8B"/>
    <w:rsid w:val="008426D5"/>
    <w:rsid w:val="00842BD2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57D74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1596"/>
    <w:rsid w:val="00BA54D2"/>
    <w:rsid w:val="00BB12CF"/>
    <w:rsid w:val="00BB4F12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55E83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547E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A0F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8B92-9CA3-4143-8E1E-9581A466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1885</Words>
  <Characters>14214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Методист</cp:lastModifiedBy>
  <cp:revision>16</cp:revision>
  <cp:lastPrinted>2018-05-10T13:20:00Z</cp:lastPrinted>
  <dcterms:created xsi:type="dcterms:W3CDTF">2018-05-11T10:29:00Z</dcterms:created>
  <dcterms:modified xsi:type="dcterms:W3CDTF">2001-01-01T01:37:00Z</dcterms:modified>
</cp:coreProperties>
</file>