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8E1D5A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8E1D5A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Российской Федерации №482 от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8E1D5A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33323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29 июля 2014 года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8E1D5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21.02.01 "Разработка и эксплуатация нефтяных и газовых месторождений"</w:t>
      </w:r>
      <w:r w:rsidR="0089285B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8E1D5A">
        <w:rPr>
          <w:rFonts w:ascii="Times New Roman" w:hAnsi="Times New Roman"/>
          <w:sz w:val="24"/>
          <w:szCs w:val="24"/>
        </w:rPr>
        <w:t>No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8E1D5A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8E1D5A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8E1D5A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8E1D5A">
        <w:rPr>
          <w:rFonts w:ascii="Times New Roman" w:hAnsi="Times New Roman"/>
          <w:sz w:val="24"/>
          <w:szCs w:val="24"/>
          <w:lang w:val="ru-RU"/>
        </w:rPr>
        <w:t>4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8E1D5A">
        <w:rPr>
          <w:rFonts w:ascii="Times New Roman" w:hAnsi="Times New Roman"/>
          <w:sz w:val="24"/>
          <w:szCs w:val="24"/>
          <w:lang w:val="ru-RU"/>
        </w:rPr>
        <w:t>251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8E1D5A">
        <w:rPr>
          <w:rFonts w:ascii="Times New Roman" w:hAnsi="Times New Roman"/>
          <w:sz w:val="24"/>
          <w:szCs w:val="24"/>
          <w:lang w:val="ru-RU"/>
        </w:rPr>
        <w:t>я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5061CE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</w:t>
      </w:r>
      <w:r w:rsidR="005061C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061CE" w:rsidRPr="005061CE">
        <w:rPr>
          <w:rFonts w:ascii="Times New Roman" w:hAnsi="Times New Roman"/>
          <w:color w:val="000000"/>
          <w:sz w:val="24"/>
          <w:szCs w:val="24"/>
          <w:lang w:val="ru-RU"/>
        </w:rPr>
        <w:t xml:space="preserve">4 </w:t>
      </w:r>
      <w:r w:rsidR="005061CE">
        <w:rPr>
          <w:rFonts w:ascii="Times New Roman" w:hAnsi="Times New Roman"/>
          <w:color w:val="000000"/>
          <w:sz w:val="24"/>
          <w:szCs w:val="24"/>
          <w:lang w:val="ru-RU"/>
        </w:rPr>
        <w:t>недели</w:t>
      </w:r>
      <w:r w:rsidR="005061CE" w:rsidRPr="005061C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производственная практика (по профилю специальности) –  </w:t>
      </w:r>
      <w:proofErr w:type="gramStart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5061CE" w:rsidRPr="005061CE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неделя</w:t>
      </w:r>
      <w:proofErr w:type="gramEnd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  <w:bookmarkStart w:id="0" w:name="_GoBack"/>
      <w:bookmarkEnd w:id="0"/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8E1D5A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8E1D5A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8E1D5A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8E1D5A">
        <w:rPr>
          <w:rFonts w:ascii="Times New Roman" w:hAnsi="Times New Roman"/>
          <w:sz w:val="24"/>
          <w:szCs w:val="24"/>
        </w:rPr>
        <w:t> </w:t>
      </w:r>
      <w:r w:rsidRPr="008E1D5A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8E1D5A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8E1D5A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8E1D5A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8E1D5A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323A61" w:rsidRPr="007E1576" w:rsidRDefault="00323A61" w:rsidP="00323A6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</w:p>
    <w:p w:rsidR="001F5F61" w:rsidRPr="008E1D5A" w:rsidRDefault="0036451B" w:rsidP="003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реализуется с использованием сетевой формы реализации образовательных программ</w:t>
      </w:r>
    </w:p>
    <w:p w:rsidR="002C62B1" w:rsidRPr="008E1D5A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8E1D5A">
        <w:rPr>
          <w:rFonts w:ascii="Times New Roman" w:hAnsi="Times New Roman"/>
          <w:sz w:val="24"/>
          <w:szCs w:val="24"/>
        </w:rPr>
        <w:t> 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F76D65">
        <w:rPr>
          <w:rFonts w:ascii="Times New Roman" w:hAnsi="Times New Roman"/>
          <w:sz w:val="24"/>
          <w:szCs w:val="24"/>
          <w:lang w:val="ru-RU"/>
        </w:rPr>
        <w:t>2</w:t>
      </w:r>
      <w:r w:rsidR="00EB6CE1">
        <w:rPr>
          <w:rFonts w:ascii="Times New Roman" w:hAnsi="Times New Roman"/>
          <w:sz w:val="24"/>
          <w:szCs w:val="24"/>
          <w:lang w:val="ru-RU"/>
        </w:rPr>
        <w:t>6</w:t>
      </w:r>
      <w:r w:rsidR="00F76D65">
        <w:rPr>
          <w:rFonts w:ascii="Times New Roman" w:hAnsi="Times New Roman"/>
          <w:sz w:val="24"/>
          <w:szCs w:val="24"/>
          <w:lang w:val="ru-RU"/>
        </w:rPr>
        <w:t xml:space="preserve">3 </w:t>
      </w:r>
      <w:r w:rsidRPr="008E1D5A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8E1D5A">
        <w:rPr>
          <w:rFonts w:ascii="Times New Roman" w:hAnsi="Times New Roman"/>
          <w:sz w:val="24"/>
          <w:szCs w:val="24"/>
          <w:lang w:val="ru-RU"/>
        </w:rPr>
        <w:t>а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8E1D5A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691360" w:rsidRPr="00691360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EB6CE1" w:rsidRPr="00EB6CE1">
        <w:rPr>
          <w:rFonts w:ascii="Times New Roman" w:hAnsi="Times New Roman"/>
          <w:sz w:val="24"/>
          <w:szCs w:val="24"/>
          <w:lang w:val="ru-RU"/>
        </w:rPr>
        <w:t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Также в качестве дисциплин вариативной части студентами изучаются дисциплины:  «Основы нефтегазового производства», «Бурение нефтяных и газовых скважин».</w:t>
      </w:r>
      <w:r w:rsidR="00EB6CE1" w:rsidRPr="00C96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5A">
        <w:rPr>
          <w:rFonts w:ascii="Times New Roman" w:hAnsi="Times New Roman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учебных циклов. Распределение вариативной части указано в следующей таблице:</w:t>
      </w:r>
    </w:p>
    <w:p w:rsidR="00653F0E" w:rsidRDefault="00653F0E" w:rsidP="00653F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C056B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Распределение  вариативной</w:t>
      </w:r>
      <w:proofErr w:type="gramEnd"/>
      <w:r w:rsidRPr="00C056B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обязательной частей учебных циклов</w:t>
      </w:r>
    </w:p>
    <w:p w:rsidR="00653F0E" w:rsidRPr="00C056B0" w:rsidRDefault="00653F0E" w:rsidP="00653F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A16D9">
        <w:rPr>
          <w:rFonts w:ascii="Times New Roman" w:hAnsi="Times New Roman"/>
          <w:b/>
          <w:sz w:val="24"/>
          <w:szCs w:val="24"/>
          <w:lang w:val="ru-RU"/>
        </w:rPr>
        <w:t xml:space="preserve">ППССЗ при заочной форме обучения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547"/>
        <w:gridCol w:w="1016"/>
        <w:gridCol w:w="1016"/>
        <w:gridCol w:w="1016"/>
        <w:gridCol w:w="1016"/>
      </w:tblGrid>
      <w:tr w:rsidR="0055744E" w:rsidRPr="005061CE" w:rsidTr="002E7CDB">
        <w:trPr>
          <w:jc w:val="center"/>
        </w:trPr>
        <w:tc>
          <w:tcPr>
            <w:tcW w:w="1242" w:type="dxa"/>
            <w:vMerge w:val="restart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547" w:type="dxa"/>
            <w:vMerge w:val="restart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2" w:type="dxa"/>
            <w:gridSpan w:val="2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6" w:type="dxa"/>
            <w:vMerge w:val="restart"/>
            <w:vAlign w:val="center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55744E" w:rsidRPr="00330CF8" w:rsidRDefault="0055744E" w:rsidP="005574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6" w:type="dxa"/>
            <w:vMerge w:val="restart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55744E" w:rsidRPr="00330CF8" w:rsidRDefault="0055744E" w:rsidP="005574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55744E" w:rsidRPr="005061CE" w:rsidTr="002E7CDB">
        <w:trPr>
          <w:jc w:val="center"/>
        </w:trPr>
        <w:tc>
          <w:tcPr>
            <w:tcW w:w="1242" w:type="dxa"/>
            <w:vMerge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  <w:vMerge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Align w:val="center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6" w:type="dxa"/>
            <w:vAlign w:val="center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6" w:type="dxa"/>
            <w:vMerge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744E" w:rsidRPr="00EB6CE1" w:rsidTr="0055744E">
        <w:trPr>
          <w:jc w:val="center"/>
        </w:trPr>
        <w:tc>
          <w:tcPr>
            <w:tcW w:w="5789" w:type="dxa"/>
            <w:gridSpan w:val="2"/>
          </w:tcPr>
          <w:p w:rsidR="0055744E" w:rsidRPr="00EB6CE1" w:rsidRDefault="0055744E" w:rsidP="005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цикл </w:t>
            </w:r>
            <w:r w:rsidRPr="0055744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(Введены дисциплины вариативной части)</w:t>
            </w:r>
          </w:p>
        </w:tc>
        <w:tc>
          <w:tcPr>
            <w:tcW w:w="1016" w:type="dxa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16" w:type="dxa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16" w:type="dxa"/>
            <w:vAlign w:val="center"/>
          </w:tcPr>
          <w:p w:rsidR="0055744E" w:rsidRPr="00EB6CE1" w:rsidRDefault="00D55C9B" w:rsidP="005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16" w:type="dxa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7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16" w:type="dxa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7" w:type="dxa"/>
            <w:vAlign w:val="center"/>
          </w:tcPr>
          <w:p w:rsidR="00D55C9B" w:rsidRPr="00CE6A88" w:rsidRDefault="00D55C9B" w:rsidP="00D55C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47" w:type="dxa"/>
            <w:vAlign w:val="center"/>
          </w:tcPr>
          <w:p w:rsidR="00D55C9B" w:rsidRPr="00CE6A88" w:rsidRDefault="00D55C9B" w:rsidP="00D55C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7" w:type="dxa"/>
            <w:vAlign w:val="center"/>
          </w:tcPr>
          <w:p w:rsidR="00D55C9B" w:rsidRPr="00CE6A88" w:rsidRDefault="00D55C9B" w:rsidP="00D55C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6" w:type="dxa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547" w:type="dxa"/>
          </w:tcPr>
          <w:p w:rsidR="00D55C9B" w:rsidRPr="00FD639C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6" w:type="dxa"/>
            <w:vAlign w:val="center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547" w:type="dxa"/>
          </w:tcPr>
          <w:p w:rsidR="00D55C9B" w:rsidRPr="00FD639C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специальность: общие компетенции профессионала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D55C9B" w:rsidRPr="00EB6CE1" w:rsidTr="00DC75C5">
        <w:trPr>
          <w:jc w:val="center"/>
        </w:trPr>
        <w:tc>
          <w:tcPr>
            <w:tcW w:w="5789" w:type="dxa"/>
            <w:gridSpan w:val="2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247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479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726</w:t>
            </w:r>
          </w:p>
        </w:tc>
      </w:tr>
      <w:tr w:rsidR="00D55C9B" w:rsidRPr="00EB6CE1" w:rsidTr="00DC75C5">
        <w:trPr>
          <w:trHeight w:val="299"/>
          <w:jc w:val="center"/>
        </w:trPr>
        <w:tc>
          <w:tcPr>
            <w:tcW w:w="5789" w:type="dxa"/>
            <w:gridSpan w:val="2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746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268</w:t>
            </w:r>
          </w:p>
        </w:tc>
      </w:tr>
      <w:tr w:rsidR="00D55C9B" w:rsidRPr="00EB6CE1" w:rsidTr="002E7CDB">
        <w:trPr>
          <w:jc w:val="center"/>
        </w:trPr>
        <w:tc>
          <w:tcPr>
            <w:tcW w:w="5789" w:type="dxa"/>
            <w:gridSpan w:val="2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  <w:r w:rsidRPr="00EB6CE1"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D55C9B" w:rsidRPr="00EB6CE1" w:rsidTr="002E7CDB">
        <w:trPr>
          <w:trHeight w:val="131"/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16" w:type="dxa"/>
            <w:vAlign w:val="center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ОП.04 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6" w:type="dxa"/>
            <w:vAlign w:val="center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55C9B" w:rsidRPr="00EB6CE1" w:rsidTr="00DC75C5">
        <w:trPr>
          <w:jc w:val="center"/>
        </w:trPr>
        <w:tc>
          <w:tcPr>
            <w:tcW w:w="5789" w:type="dxa"/>
            <w:gridSpan w:val="2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EB6CE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168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D55C9B" w:rsidRPr="00EB6CE1" w:rsidTr="00A76F6C">
        <w:trPr>
          <w:jc w:val="center"/>
        </w:trPr>
        <w:tc>
          <w:tcPr>
            <w:tcW w:w="5789" w:type="dxa"/>
            <w:gridSpan w:val="2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 w:rsidR="00A76F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(в</w:t>
            </w:r>
            <w:r w:rsidR="00A76F6C"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ариативная часть использована на увеличение объема </w:t>
            </w:r>
            <w:proofErr w:type="gramStart"/>
            <w:r w:rsidR="00A76F6C"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="00A76F6C"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</w:t>
            </w:r>
            <w:r w:rsidR="00A76F6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A76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544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A7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A7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343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A7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458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308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EB6C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137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  <w:tr w:rsidR="00D55C9B" w:rsidRPr="002E7CDB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547" w:type="dxa"/>
          </w:tcPr>
          <w:p w:rsidR="00D55C9B" w:rsidRPr="002E7CDB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CD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Выполнение работ по профессии "Оператор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2E7CD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исследованию скважин"</w:t>
            </w:r>
          </w:p>
        </w:tc>
        <w:tc>
          <w:tcPr>
            <w:tcW w:w="1016" w:type="dxa"/>
            <w:vAlign w:val="center"/>
          </w:tcPr>
          <w:p w:rsidR="00D55C9B" w:rsidRPr="00D55C9B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D55C9B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D55C9B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16" w:type="dxa"/>
            <w:vAlign w:val="center"/>
          </w:tcPr>
          <w:p w:rsidR="00D55C9B" w:rsidRPr="00D55C9B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  <w:r w:rsidRPr="00EB6C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263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545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808</w:t>
            </w:r>
          </w:p>
        </w:tc>
      </w:tr>
    </w:tbl>
    <w:p w:rsidR="002C62B1" w:rsidRPr="008E1D5A" w:rsidRDefault="00EB6CE1" w:rsidP="00330CF8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EB6CE1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4B72A1" w:rsidRPr="008E1D5A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8E1D5A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8E1D5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8E1D5A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8E1D5A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8E1D5A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8E1D5A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E1D5A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8E1D5A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8E1D5A">
        <w:rPr>
          <w:rStyle w:val="c2"/>
          <w:color w:val="000000"/>
        </w:rPr>
        <w:t xml:space="preserve">      </w:t>
      </w:r>
      <w:r w:rsidR="00EE08A3" w:rsidRPr="008E1D5A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8E1D5A">
        <w:rPr>
          <w:rStyle w:val="c2"/>
          <w:color w:val="000000"/>
        </w:rPr>
        <w:t xml:space="preserve"> </w:t>
      </w:r>
    </w:p>
    <w:p w:rsidR="002C62B1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8E1D5A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8E1D5A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8E1D5A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8E1D5A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8E1D5A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8E1D5A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8"/>
        <w:gridCol w:w="3082"/>
      </w:tblGrid>
      <w:tr w:rsidR="001C1778" w:rsidRPr="005061CE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1C1778" w:rsidRPr="008E1D5A" w:rsidTr="001C1778">
        <w:trPr>
          <w:trHeight w:val="1873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1C1778" w:rsidRPr="008E1D5A" w:rsidTr="001C1778">
        <w:trPr>
          <w:trHeight w:val="16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</w:t>
            </w: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proofErr w:type="gram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процессов,  имитации</w:t>
            </w:r>
            <w:proofErr w:type="gram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1C1778" w:rsidRPr="008E1D5A" w:rsidTr="001C1778">
        <w:trPr>
          <w:trHeight w:val="1584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07241308"/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  <w:bookmarkEnd w:id="1"/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Методическийкабинет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1C1778" w:rsidRPr="005061CE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1778" w:rsidRPr="008E1D5A" w:rsidRDefault="001C1778" w:rsidP="00F103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proofErr w:type="gram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1C1778" w:rsidRPr="008E1D5A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1C1778" w:rsidRPr="008E1D5A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1C1778" w:rsidRPr="005061CE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1C1778" w:rsidRPr="00846FE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2E7CDB"/>
    <w:rsid w:val="003055E7"/>
    <w:rsid w:val="003066EE"/>
    <w:rsid w:val="00323A61"/>
    <w:rsid w:val="0032461B"/>
    <w:rsid w:val="00330CF8"/>
    <w:rsid w:val="00333389"/>
    <w:rsid w:val="003467EC"/>
    <w:rsid w:val="003573C6"/>
    <w:rsid w:val="0036451B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061CE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5744E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53F0E"/>
    <w:rsid w:val="0066534D"/>
    <w:rsid w:val="00670C32"/>
    <w:rsid w:val="006848EE"/>
    <w:rsid w:val="00691360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1D5A"/>
    <w:rsid w:val="008E3AF8"/>
    <w:rsid w:val="00901742"/>
    <w:rsid w:val="009021BE"/>
    <w:rsid w:val="00904FE0"/>
    <w:rsid w:val="009115DF"/>
    <w:rsid w:val="00914944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E67B7"/>
    <w:rsid w:val="009F01DD"/>
    <w:rsid w:val="009F6731"/>
    <w:rsid w:val="00A06DE1"/>
    <w:rsid w:val="00A0765E"/>
    <w:rsid w:val="00A07949"/>
    <w:rsid w:val="00A12758"/>
    <w:rsid w:val="00A27119"/>
    <w:rsid w:val="00A34983"/>
    <w:rsid w:val="00A50B86"/>
    <w:rsid w:val="00A54165"/>
    <w:rsid w:val="00A54484"/>
    <w:rsid w:val="00A63702"/>
    <w:rsid w:val="00A65237"/>
    <w:rsid w:val="00A674BC"/>
    <w:rsid w:val="00A74920"/>
    <w:rsid w:val="00A76F6C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91217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B14A8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1611"/>
    <w:rsid w:val="00D439C7"/>
    <w:rsid w:val="00D45246"/>
    <w:rsid w:val="00D45D22"/>
    <w:rsid w:val="00D45F69"/>
    <w:rsid w:val="00D505C0"/>
    <w:rsid w:val="00D55C9B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0CD"/>
    <w:rsid w:val="00DC1D15"/>
    <w:rsid w:val="00DC6F68"/>
    <w:rsid w:val="00DC75C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A5036"/>
    <w:rsid w:val="00EB4A67"/>
    <w:rsid w:val="00EB5498"/>
    <w:rsid w:val="00EB6CE1"/>
    <w:rsid w:val="00EC178B"/>
    <w:rsid w:val="00EC30E9"/>
    <w:rsid w:val="00ED1136"/>
    <w:rsid w:val="00ED4CBF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76D65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E0542"/>
  <w15:docId w15:val="{BA39E6BE-6101-459E-AEF6-A6412AE3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9F0E-9F5E-4C2C-AEA8-8ACB2575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19</cp:revision>
  <cp:lastPrinted>2018-05-10T13:20:00Z</cp:lastPrinted>
  <dcterms:created xsi:type="dcterms:W3CDTF">2018-05-11T10:29:00Z</dcterms:created>
  <dcterms:modified xsi:type="dcterms:W3CDTF">2018-05-18T09:20:00Z</dcterms:modified>
</cp:coreProperties>
</file>