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F9" w:rsidRPr="001D3BE6" w:rsidRDefault="004F79F9" w:rsidP="004F79F9">
      <w:pPr>
        <w:tabs>
          <w:tab w:val="lef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21F4A48" wp14:editId="05714D0E">
            <wp:simplePos x="0" y="0"/>
            <wp:positionH relativeFrom="column">
              <wp:posOffset>-44704</wp:posOffset>
            </wp:positionH>
            <wp:positionV relativeFrom="paragraph">
              <wp:posOffset>-300380</wp:posOffset>
            </wp:positionV>
            <wp:extent cx="601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32" y="21016"/>
                <wp:lineTo x="21532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5"/>
      </w:tblGrid>
      <w:tr w:rsidR="004F79F9" w:rsidRPr="001C5510" w:rsidTr="00935F39">
        <w:tc>
          <w:tcPr>
            <w:tcW w:w="4926" w:type="dxa"/>
          </w:tcPr>
          <w:p w:rsidR="004F79F9" w:rsidRPr="001C5510" w:rsidRDefault="004F79F9" w:rsidP="00935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УЧ ПОО «Нефтяной техникум»</w:t>
            </w: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А. Волохин  </w:t>
            </w: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АПОУ УР «Топливно-энергетический колледж»</w:t>
            </w: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_________________Е. Ю. Хотеева</w:t>
            </w:r>
          </w:p>
          <w:p w:rsidR="004F79F9" w:rsidRPr="001C5510" w:rsidRDefault="004F79F9" w:rsidP="0093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F79F9" w:rsidRPr="001C5510" w:rsidRDefault="004F79F9" w:rsidP="00935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F79F9" w:rsidRPr="001D3BE6" w:rsidRDefault="004F79F9" w:rsidP="004F79F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4F79F9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67BC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с использованием сетевых форм реализации образовательных программ 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по специальности:</w:t>
      </w:r>
    </w:p>
    <w:p w:rsidR="004F79F9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F79F9" w:rsidRPr="00C967BC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F79F9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D3BE6">
        <w:rPr>
          <w:rFonts w:ascii="Times New Roman" w:hAnsi="Times New Roman"/>
          <w:b/>
          <w:bCs/>
          <w:sz w:val="32"/>
          <w:szCs w:val="32"/>
          <w:lang w:val="ru-RU"/>
        </w:rPr>
        <w:t>23.02.03 «Техническое обслуживание и ремонт автомобильного транспорта» (базовая подготовка)</w:t>
      </w:r>
    </w:p>
    <w:p w:rsidR="004F79F9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4F79F9" w:rsidRPr="001C5510" w:rsidTr="00935F39">
        <w:trPr>
          <w:jc w:val="right"/>
        </w:trPr>
        <w:tc>
          <w:tcPr>
            <w:tcW w:w="5380" w:type="dxa"/>
          </w:tcPr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B7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10 месяцев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4F79F9" w:rsidRPr="001C5510" w:rsidRDefault="004F79F9" w:rsidP="00935F3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И</w:t>
            </w:r>
            <w:r w:rsidR="008F32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4F79F9" w:rsidRPr="001D3BE6" w:rsidRDefault="004F79F9" w:rsidP="004F79F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4F79F9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4F79F9" w:rsidRPr="004F79F9" w:rsidTr="00935F39">
        <w:tc>
          <w:tcPr>
            <w:tcW w:w="4837" w:type="dxa"/>
          </w:tcPr>
          <w:p w:rsidR="004F79F9" w:rsidRPr="001C5510" w:rsidRDefault="004F79F9" w:rsidP="00935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4F79F9" w:rsidRPr="001C5510" w:rsidRDefault="004F79F9" w:rsidP="00935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4F79F9" w:rsidRPr="001C5510" w:rsidRDefault="004F79F9" w:rsidP="00935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4F79F9" w:rsidRPr="001C5510" w:rsidRDefault="004F79F9" w:rsidP="00935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4F79F9" w:rsidRPr="001D3BE6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F79F9" w:rsidRPr="001D3BE6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4F79F9" w:rsidRPr="001D3BE6" w:rsidRDefault="004F79F9" w:rsidP="004F79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D3BE6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4F79F9" w:rsidRDefault="004F79F9" w:rsidP="004F79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F79F9" w:rsidRDefault="004F79F9" w:rsidP="004F79F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A71CB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A71CB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383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22 апреля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DA71CB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A71CB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A71CB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32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878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27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/>
          <w:bCs/>
          <w:sz w:val="24"/>
          <w:szCs w:val="24"/>
          <w:lang w:val="ru-RU"/>
        </w:rPr>
        <w:t>23.02.03 «Техническое обслуживание и ремонт автомобильного транспорта»</w:t>
      </w:r>
      <w:r w:rsidR="0089285B"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DA71CB">
        <w:rPr>
          <w:rFonts w:ascii="Times New Roman" w:hAnsi="Times New Roman"/>
          <w:sz w:val="24"/>
          <w:szCs w:val="24"/>
        </w:rPr>
        <w:t>No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A71CB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251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A71CB">
        <w:rPr>
          <w:rFonts w:ascii="Times New Roman" w:hAnsi="Times New Roman"/>
          <w:sz w:val="24"/>
          <w:szCs w:val="24"/>
          <w:lang w:val="ru-RU"/>
        </w:rPr>
        <w:t>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самостоятельное обучение 14</w:t>
      </w:r>
      <w:r w:rsidR="005A5462">
        <w:rPr>
          <w:rFonts w:ascii="Times New Roman" w:hAnsi="Times New Roman"/>
          <w:sz w:val="24"/>
          <w:szCs w:val="24"/>
          <w:lang w:val="ru-RU"/>
        </w:rPr>
        <w:t>2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неделя;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–  2</w:t>
      </w:r>
      <w:r w:rsidR="00347443" w:rsidRPr="004F79F9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 недели;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учебная практика – </w:t>
      </w:r>
      <w:r w:rsidR="00347443" w:rsidRPr="004F79F9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A71CB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A71CB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A71CB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A71CB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A71CB">
        <w:rPr>
          <w:rFonts w:ascii="Times New Roman" w:hAnsi="Times New Roman"/>
          <w:sz w:val="24"/>
          <w:szCs w:val="24"/>
          <w:lang w:val="ru-RU"/>
        </w:rPr>
        <w:t>Ос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DA71CB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A71CB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A71CB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A71CB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48235D" w:rsidRPr="007E1576" w:rsidRDefault="0048235D" w:rsidP="0048235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DA71C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A71CB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A71CB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ОПОП </w:t>
      </w:r>
      <w:proofErr w:type="gramStart"/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СПО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был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использован весь объем времени, отведенный на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7A38AE">
        <w:rPr>
          <w:rFonts w:ascii="Times New Roman" w:hAnsi="Times New Roman"/>
          <w:sz w:val="24"/>
          <w:szCs w:val="24"/>
          <w:lang w:val="ru-RU"/>
        </w:rPr>
        <w:t>30</w:t>
      </w:r>
      <w:r w:rsidR="008D030D" w:rsidRPr="008D030D">
        <w:rPr>
          <w:rFonts w:ascii="Times New Roman" w:hAnsi="Times New Roman"/>
          <w:sz w:val="24"/>
          <w:szCs w:val="24"/>
          <w:lang w:val="ru-RU"/>
        </w:rPr>
        <w:t>7</w:t>
      </w:r>
      <w:r w:rsidR="007A38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>ов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</w:t>
      </w:r>
      <w:r w:rsidR="007A38AE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 xml:space="preserve"> вариативной части студентами изуча</w:t>
      </w:r>
      <w:r w:rsidR="007A38AE">
        <w:rPr>
          <w:rFonts w:ascii="Times New Roman" w:hAnsi="Times New Roman"/>
          <w:sz w:val="24"/>
          <w:szCs w:val="24"/>
          <w:lang w:val="ru-RU"/>
        </w:rPr>
        <w:t>е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>тся дисциплин</w:t>
      </w:r>
      <w:r w:rsidR="007A38AE">
        <w:rPr>
          <w:rFonts w:ascii="Times New Roman" w:hAnsi="Times New Roman"/>
          <w:sz w:val="24"/>
          <w:szCs w:val="24"/>
          <w:lang w:val="ru-RU"/>
        </w:rPr>
        <w:t>а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 xml:space="preserve">  «Основы нефтегазового производства»</w:t>
      </w:r>
      <w:r w:rsidR="007A38AE">
        <w:rPr>
          <w:rFonts w:ascii="Times New Roman" w:hAnsi="Times New Roman"/>
          <w:sz w:val="24"/>
          <w:szCs w:val="24"/>
          <w:lang w:val="ru-RU"/>
        </w:rPr>
        <w:t>.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а</w:t>
      </w:r>
      <w:r w:rsidRPr="00DA71CB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7A38AE" w:rsidRPr="007A38AE" w:rsidRDefault="007A38AE" w:rsidP="007A38A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38AE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вариативной </w:t>
      </w:r>
      <w:r w:rsidR="000A013A">
        <w:rPr>
          <w:rFonts w:ascii="Times New Roman" w:hAnsi="Times New Roman"/>
          <w:b/>
          <w:sz w:val="24"/>
          <w:szCs w:val="24"/>
          <w:lang w:val="ru-RU"/>
        </w:rPr>
        <w:t>и обязательной частей</w:t>
      </w:r>
      <w:r w:rsidRPr="007A38AE">
        <w:rPr>
          <w:rFonts w:ascii="Times New Roman" w:hAnsi="Times New Roman"/>
          <w:b/>
          <w:sz w:val="24"/>
          <w:szCs w:val="24"/>
          <w:lang w:val="ru-RU"/>
        </w:rPr>
        <w:t xml:space="preserve">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4222"/>
        <w:gridCol w:w="998"/>
        <w:gridCol w:w="998"/>
        <w:gridCol w:w="998"/>
        <w:gridCol w:w="998"/>
      </w:tblGrid>
      <w:tr w:rsidR="00842504" w:rsidRPr="008F327F" w:rsidTr="008D030D">
        <w:trPr>
          <w:jc w:val="center"/>
        </w:trPr>
        <w:tc>
          <w:tcPr>
            <w:tcW w:w="1413" w:type="dxa"/>
            <w:vMerge w:val="restart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222" w:type="dxa"/>
            <w:vMerge w:val="restart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96" w:type="dxa"/>
            <w:gridSpan w:val="2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998" w:type="dxa"/>
            <w:vMerge w:val="restart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842504" w:rsidRPr="00873060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998" w:type="dxa"/>
            <w:vMerge w:val="restart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842504" w:rsidRPr="00873060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842504" w:rsidRPr="008F327F" w:rsidTr="008D030D">
        <w:trPr>
          <w:jc w:val="center"/>
        </w:trPr>
        <w:tc>
          <w:tcPr>
            <w:tcW w:w="1413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998" w:type="dxa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998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Merge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2504" w:rsidRPr="007A38AE" w:rsidTr="008D030D">
        <w:trPr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998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8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8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998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842504" w:rsidRPr="007A38AE" w:rsidTr="008D030D">
        <w:trPr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2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998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22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22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22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8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8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D030D">
        <w:trPr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998" w:type="dxa"/>
          </w:tcPr>
          <w:p w:rsidR="00842504" w:rsidRPr="00022A36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22A3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</w:t>
            </w:r>
          </w:p>
        </w:tc>
      </w:tr>
      <w:tr w:rsidR="00842504" w:rsidRPr="007A38AE" w:rsidTr="008D030D">
        <w:trPr>
          <w:trHeight w:val="219"/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299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998" w:type="dxa"/>
          </w:tcPr>
          <w:p w:rsidR="00842504" w:rsidRPr="007A38AE" w:rsidRDefault="00A606D7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234</w:t>
            </w:r>
          </w:p>
        </w:tc>
      </w:tr>
      <w:tr w:rsidR="00842504" w:rsidRPr="007A38AE" w:rsidTr="008D030D">
        <w:trPr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173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998" w:type="dxa"/>
          </w:tcPr>
          <w:p w:rsidR="00842504" w:rsidRPr="007A38AE" w:rsidRDefault="00A606D7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208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998" w:type="dxa"/>
          </w:tcPr>
          <w:p w:rsidR="00842504" w:rsidRPr="00842504" w:rsidRDefault="00842504" w:rsidP="00A60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Материаловедение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ОП.06 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безопасности дорожного движения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8" w:type="dxa"/>
            <w:vAlign w:val="bottom"/>
          </w:tcPr>
          <w:p w:rsidR="00842504" w:rsidRPr="007A38AE" w:rsidRDefault="00022A36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42504" w:rsidRPr="00022A36" w:rsidRDefault="00022A36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D030D">
        <w:trPr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842504" w:rsidRPr="007A38AE" w:rsidTr="008D030D">
        <w:trPr>
          <w:trHeight w:val="341"/>
          <w:jc w:val="center"/>
        </w:trPr>
        <w:tc>
          <w:tcPr>
            <w:tcW w:w="5635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 (в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модулей обязательной части)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992</w:t>
            </w:r>
          </w:p>
        </w:tc>
        <w:tc>
          <w:tcPr>
            <w:tcW w:w="998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239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288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527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Техническое обслуживание и ремонт автотранспорта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830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441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автомобилей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МДК.01.02</w:t>
            </w:r>
          </w:p>
        </w:tc>
        <w:tc>
          <w:tcPr>
            <w:tcW w:w="4222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842504" w:rsidRPr="007A38AE" w:rsidTr="008D030D">
        <w:trPr>
          <w:trHeight w:val="481"/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коллективом исполнителей</w:t>
            </w:r>
          </w:p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8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B94A34" w:rsidRPr="00B94A34" w:rsidTr="008D030D">
        <w:trPr>
          <w:jc w:val="center"/>
        </w:trPr>
        <w:tc>
          <w:tcPr>
            <w:tcW w:w="1413" w:type="dxa"/>
          </w:tcPr>
          <w:p w:rsidR="00B94A34" w:rsidRPr="007A38AE" w:rsidRDefault="00B94A3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22" w:type="dxa"/>
          </w:tcPr>
          <w:p w:rsidR="00B94A34" w:rsidRPr="0048235D" w:rsidRDefault="00B94A34" w:rsidP="00B94A3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2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                         " Слесарь по ремонту автомобилей"</w:t>
            </w:r>
          </w:p>
        </w:tc>
        <w:tc>
          <w:tcPr>
            <w:tcW w:w="998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8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8" w:type="dxa"/>
            <w:vAlign w:val="center"/>
          </w:tcPr>
          <w:p w:rsidR="00B94A34" w:rsidRPr="00A606D7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842504" w:rsidRPr="007A38AE" w:rsidTr="008D030D">
        <w:trPr>
          <w:jc w:val="center"/>
        </w:trPr>
        <w:tc>
          <w:tcPr>
            <w:tcW w:w="1413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8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998" w:type="dxa"/>
          </w:tcPr>
          <w:p w:rsidR="00842504" w:rsidRPr="008D030D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8D03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842504" w:rsidRPr="008D030D" w:rsidRDefault="008D030D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998" w:type="dxa"/>
          </w:tcPr>
          <w:p w:rsidR="00842504" w:rsidRPr="008D030D" w:rsidRDefault="008D030D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</w:tr>
    </w:tbl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A71CB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A71CB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курсовых проектов по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A71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Техническое обслуживание и ремонт автотранспорта  </w:t>
      </w:r>
      <w:r w:rsidRPr="00DA71CB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>Организация деятельности коллектива исполнителей</w:t>
      </w:r>
      <w:r w:rsidR="00D62C5A" w:rsidRPr="00DA71CB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A71CB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A71CB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A71CB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A71CB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A71CB">
        <w:rPr>
          <w:rStyle w:val="c2"/>
        </w:rPr>
        <w:t xml:space="preserve">      </w:t>
      </w:r>
      <w:r w:rsidR="00EE08A3" w:rsidRPr="00DA71CB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A71CB">
        <w:rPr>
          <w:rStyle w:val="c2"/>
        </w:rPr>
        <w:t xml:space="preserve"> </w:t>
      </w:r>
    </w:p>
    <w:p w:rsidR="002C62B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4886"/>
        <w:gridCol w:w="3610"/>
      </w:tblGrid>
      <w:tr w:rsidR="00D165FC" w:rsidRPr="008F327F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165FC" w:rsidRPr="00DA71CB" w:rsidTr="00DC19E6">
        <w:trPr>
          <w:trHeight w:val="188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165FC" w:rsidRPr="00DA71CB" w:rsidTr="00DC19E6">
        <w:trPr>
          <w:trHeight w:val="1966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165FC" w:rsidRPr="00DA71CB" w:rsidTr="00DC19E6">
        <w:trPr>
          <w:trHeight w:val="16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1CB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D165FC" w:rsidRPr="00DA71CB" w:rsidRDefault="00D165FC" w:rsidP="00DC19E6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учета;анализа</w:t>
            </w:r>
            <w:proofErr w:type="spellEnd"/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процессов,  имитации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165FC" w:rsidRPr="00DA71CB" w:rsidTr="00DC19E6">
        <w:trPr>
          <w:trHeight w:val="1635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165FC" w:rsidRPr="008F327F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Слесарные, токарно-механическая;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кузнечно-сварочная; 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демонтажно-монтажная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165FC" w:rsidRPr="00DA71CB" w:rsidRDefault="00D165FC" w:rsidP="00DC19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автотранспортные мастерские ООО «Ремонтник» и т.д.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165FC" w:rsidRPr="00DA71CB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165FC" w:rsidRPr="008F327F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A71CB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A71CB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01BC0"/>
    <w:rsid w:val="0000565E"/>
    <w:rsid w:val="00022721"/>
    <w:rsid w:val="00022A36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A013A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47443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35D"/>
    <w:rsid w:val="00482FBF"/>
    <w:rsid w:val="00483C10"/>
    <w:rsid w:val="004841C7"/>
    <w:rsid w:val="00490F4A"/>
    <w:rsid w:val="004A00DB"/>
    <w:rsid w:val="004B72A1"/>
    <w:rsid w:val="004D2599"/>
    <w:rsid w:val="004D2B60"/>
    <w:rsid w:val="004E2F12"/>
    <w:rsid w:val="004E5AB3"/>
    <w:rsid w:val="004F2520"/>
    <w:rsid w:val="004F79F9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5462"/>
    <w:rsid w:val="005A681C"/>
    <w:rsid w:val="005A7953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38AE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504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77BF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030D"/>
    <w:rsid w:val="008D14FF"/>
    <w:rsid w:val="008D2242"/>
    <w:rsid w:val="008E3AF8"/>
    <w:rsid w:val="008F327F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61971"/>
    <w:rsid w:val="0097220E"/>
    <w:rsid w:val="0097420A"/>
    <w:rsid w:val="009829CD"/>
    <w:rsid w:val="00991228"/>
    <w:rsid w:val="009948BF"/>
    <w:rsid w:val="0099799E"/>
    <w:rsid w:val="009A184F"/>
    <w:rsid w:val="009B300B"/>
    <w:rsid w:val="009C5BD1"/>
    <w:rsid w:val="009D04CE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06D7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387F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3502F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4A34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165FC"/>
    <w:rsid w:val="00D200F5"/>
    <w:rsid w:val="00D3380A"/>
    <w:rsid w:val="00D338F0"/>
    <w:rsid w:val="00D439C7"/>
    <w:rsid w:val="00D45246"/>
    <w:rsid w:val="00D45D22"/>
    <w:rsid w:val="00D45F69"/>
    <w:rsid w:val="00D47748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A71CB"/>
    <w:rsid w:val="00DB5D8E"/>
    <w:rsid w:val="00DC1D15"/>
    <w:rsid w:val="00DC6F68"/>
    <w:rsid w:val="00DD06B9"/>
    <w:rsid w:val="00DD0F4A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78947"/>
  <w15:docId w15:val="{39575FC3-1BF6-407F-8466-2CE9BBD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FFEB-4939-41C7-BCF2-F60BFE6F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6</cp:revision>
  <cp:lastPrinted>2018-11-16T12:24:00Z</cp:lastPrinted>
  <dcterms:created xsi:type="dcterms:W3CDTF">2018-11-16T12:17:00Z</dcterms:created>
  <dcterms:modified xsi:type="dcterms:W3CDTF">2018-11-16T13:32:00Z</dcterms:modified>
</cp:coreProperties>
</file>