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7D" w:rsidRPr="001D3BE6" w:rsidRDefault="008B3B7D" w:rsidP="008B3B7D">
      <w:pPr>
        <w:tabs>
          <w:tab w:val="left" w:pos="9214"/>
        </w:tabs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29BF365" wp14:editId="33D51EF7">
            <wp:simplePos x="0" y="0"/>
            <wp:positionH relativeFrom="column">
              <wp:posOffset>-44704</wp:posOffset>
            </wp:positionH>
            <wp:positionV relativeFrom="paragraph">
              <wp:posOffset>-300380</wp:posOffset>
            </wp:positionV>
            <wp:extent cx="6019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532" y="21016"/>
                <wp:lineTo x="21532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8B3B7D" w:rsidRPr="001C5510" w:rsidTr="00150E49">
        <w:tc>
          <w:tcPr>
            <w:tcW w:w="4926" w:type="dxa"/>
          </w:tcPr>
          <w:p w:rsidR="008B3B7D" w:rsidRPr="001C5510" w:rsidRDefault="008B3B7D" w:rsidP="00150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УЧ ПОО «Нефтяной техникум»</w:t>
            </w:r>
          </w:p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 А. Волохин  </w:t>
            </w:r>
          </w:p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АПОУ УР «Топливно-энергетический колледж»</w:t>
            </w:r>
          </w:p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_________________Е. Ю. Хотеева</w:t>
            </w:r>
          </w:p>
          <w:p w:rsidR="008B3B7D" w:rsidRPr="001C5510" w:rsidRDefault="008B3B7D" w:rsidP="00150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B3B7D" w:rsidRPr="001C5510" w:rsidRDefault="008B3B7D" w:rsidP="00150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B3B7D" w:rsidRPr="001D3BE6" w:rsidRDefault="008B3B7D" w:rsidP="008B3B7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8B3B7D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67BC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программы 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 с использованием сетевых форм реализации образовательных программ </w:t>
      </w:r>
      <w:r w:rsidRPr="00C967BC">
        <w:rPr>
          <w:rFonts w:ascii="Times New Roman" w:hAnsi="Times New Roman"/>
          <w:bCs/>
          <w:sz w:val="28"/>
          <w:szCs w:val="28"/>
          <w:lang w:val="ru-RU"/>
        </w:rPr>
        <w:t>по специальности:</w:t>
      </w:r>
    </w:p>
    <w:p w:rsidR="008B3B7D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B3B7D" w:rsidRPr="00C967BC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B3B7D" w:rsidRPr="00C967BC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967BC">
        <w:rPr>
          <w:rFonts w:ascii="Times New Roman" w:hAnsi="Times New Roman"/>
          <w:b/>
          <w:bCs/>
          <w:sz w:val="32"/>
          <w:szCs w:val="32"/>
          <w:lang w:val="ru-RU"/>
        </w:rPr>
        <w:t>21.02.01 "Разработка и эксплуатация нефтяных и газовых месторождений" (базовая подготовка)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8B3B7D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8B3B7D" w:rsidRPr="001C5510" w:rsidTr="00150E49">
        <w:trPr>
          <w:jc w:val="right"/>
        </w:trPr>
        <w:tc>
          <w:tcPr>
            <w:tcW w:w="5380" w:type="dxa"/>
          </w:tcPr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B7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10 месяцев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основное общее образование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8B3B7D" w:rsidRPr="001C5510" w:rsidRDefault="008B3B7D" w:rsidP="00150E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r w:rsidRPr="001C55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3130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_1,ИР18_2</w:t>
            </w:r>
            <w:bookmarkStart w:id="0" w:name="_GoBack"/>
            <w:bookmarkEnd w:id="0"/>
          </w:p>
        </w:tc>
      </w:tr>
    </w:tbl>
    <w:p w:rsidR="008B3B7D" w:rsidRPr="001D3BE6" w:rsidRDefault="008B3B7D" w:rsidP="008B3B7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8B3B7D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8B3B7D" w:rsidRPr="008B3B7D" w:rsidTr="00150E49">
        <w:tc>
          <w:tcPr>
            <w:tcW w:w="4837" w:type="dxa"/>
          </w:tcPr>
          <w:p w:rsidR="008B3B7D" w:rsidRPr="001C5510" w:rsidRDefault="008B3B7D" w:rsidP="0015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51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8B3B7D" w:rsidRPr="001C5510" w:rsidRDefault="008B3B7D" w:rsidP="00150E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01 от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C55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8B3B7D" w:rsidRPr="001C5510" w:rsidRDefault="008B3B7D" w:rsidP="00150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8B3B7D" w:rsidRPr="001C5510" w:rsidRDefault="008B3B7D" w:rsidP="00150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B3B7D" w:rsidRPr="001D3BE6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B3B7D" w:rsidRPr="001D3BE6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8B3B7D" w:rsidRPr="001D3BE6" w:rsidRDefault="008B3B7D" w:rsidP="008B3B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1D3BE6">
        <w:rPr>
          <w:rFonts w:ascii="Times New Roman" w:hAnsi="Times New Roman"/>
          <w:bCs/>
          <w:sz w:val="28"/>
          <w:szCs w:val="28"/>
          <w:lang w:val="ru-RU"/>
        </w:rPr>
        <w:t>201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D3BE6">
        <w:rPr>
          <w:rFonts w:ascii="Times New Roman" w:hAnsi="Times New Roman"/>
          <w:bCs/>
          <w:sz w:val="28"/>
          <w:szCs w:val="28"/>
          <w:lang w:val="ru-RU"/>
        </w:rPr>
        <w:t xml:space="preserve"> год</w:t>
      </w:r>
    </w:p>
    <w:p w:rsidR="008B3B7D" w:rsidRDefault="008B3B7D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8B3B7D" w:rsidRDefault="008B3B7D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8B3B7D" w:rsidRDefault="008B3B7D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1.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8E1D5A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8E1D5A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E1D5A">
        <w:rPr>
          <w:rFonts w:ascii="Times New Roman" w:hAnsi="Times New Roman"/>
          <w:sz w:val="24"/>
          <w:szCs w:val="24"/>
        </w:rPr>
        <w:t>No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E1D5A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8E1D5A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4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251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8E1D5A">
        <w:rPr>
          <w:rFonts w:ascii="Times New Roman" w:hAnsi="Times New Roman"/>
          <w:sz w:val="24"/>
          <w:szCs w:val="24"/>
          <w:lang w:val="ru-RU"/>
        </w:rPr>
        <w:t>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5061CE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5061C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061CE" w:rsidRPr="005061CE">
        <w:rPr>
          <w:rFonts w:ascii="Times New Roman" w:hAnsi="Times New Roman"/>
          <w:color w:val="000000"/>
          <w:sz w:val="24"/>
          <w:szCs w:val="24"/>
          <w:lang w:val="ru-RU"/>
        </w:rPr>
        <w:t xml:space="preserve">4 </w:t>
      </w:r>
      <w:r w:rsidR="005061CE">
        <w:rPr>
          <w:rFonts w:ascii="Times New Roman" w:hAnsi="Times New Roman"/>
          <w:color w:val="000000"/>
          <w:sz w:val="24"/>
          <w:szCs w:val="24"/>
          <w:lang w:val="ru-RU"/>
        </w:rPr>
        <w:t>недели</w:t>
      </w:r>
      <w:r w:rsidR="005061CE" w:rsidRPr="005061C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</w:t>
      </w:r>
      <w:proofErr w:type="gramStart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–  2</w:t>
      </w:r>
      <w:r w:rsidR="005061CE" w:rsidRPr="005061CE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неделя;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8E1D5A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8E1D5A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8E1D5A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8E1D5A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E1D5A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E1D5A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323A61" w:rsidRPr="007E1576" w:rsidRDefault="00323A61" w:rsidP="00323A6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</w:p>
    <w:p w:rsidR="001F5F61" w:rsidRPr="008E1D5A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F76D65">
        <w:rPr>
          <w:rFonts w:ascii="Times New Roman" w:hAnsi="Times New Roman"/>
          <w:sz w:val="24"/>
          <w:szCs w:val="24"/>
          <w:lang w:val="ru-RU"/>
        </w:rPr>
        <w:t>2</w:t>
      </w:r>
      <w:r w:rsidR="00EB6CE1">
        <w:rPr>
          <w:rFonts w:ascii="Times New Roman" w:hAnsi="Times New Roman"/>
          <w:sz w:val="24"/>
          <w:szCs w:val="24"/>
          <w:lang w:val="ru-RU"/>
        </w:rPr>
        <w:t>6</w:t>
      </w:r>
      <w:r w:rsidR="00F76D65">
        <w:rPr>
          <w:rFonts w:ascii="Times New Roman" w:hAnsi="Times New Roman"/>
          <w:sz w:val="24"/>
          <w:szCs w:val="24"/>
          <w:lang w:val="ru-RU"/>
        </w:rPr>
        <w:t xml:space="preserve">3 </w:t>
      </w:r>
      <w:r w:rsidRPr="008E1D5A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>а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691360" w:rsidRPr="0069136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EB6CE1" w:rsidRPr="00EB6CE1">
        <w:rPr>
          <w:rFonts w:ascii="Times New Roman" w:hAnsi="Times New Roman"/>
          <w:sz w:val="24"/>
          <w:szCs w:val="24"/>
          <w:lang w:val="ru-RU"/>
        </w:rPr>
        <w:t>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в качестве дисциплин вариативной части определены:  «Введение в специальность: общие компетенции профессионала», «Эффективное поведение на рынке труда», «Основы предпринимательства». Также в качестве дисциплин вариативной части студентами изучаются дисциплины:  «Основы нефтегазового производства», «Бурение нефтяных и газовых скважин».</w:t>
      </w:r>
      <w:r w:rsidR="00EB6CE1" w:rsidRPr="00C96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A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653F0E" w:rsidRDefault="00653F0E" w:rsidP="00653F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Распределение  вариативной</w:t>
      </w:r>
      <w:proofErr w:type="gramEnd"/>
      <w:r w:rsidRPr="00C056B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обязательной частей учебных циклов</w:t>
      </w:r>
    </w:p>
    <w:p w:rsidR="00653F0E" w:rsidRPr="00C056B0" w:rsidRDefault="00653F0E" w:rsidP="00653F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2A16D9">
        <w:rPr>
          <w:rFonts w:ascii="Times New Roman" w:hAnsi="Times New Roman"/>
          <w:b/>
          <w:sz w:val="24"/>
          <w:szCs w:val="24"/>
          <w:lang w:val="ru-RU"/>
        </w:rPr>
        <w:t xml:space="preserve">ППССЗ при заочной форме обучения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47"/>
        <w:gridCol w:w="1016"/>
        <w:gridCol w:w="1016"/>
        <w:gridCol w:w="1016"/>
        <w:gridCol w:w="1016"/>
      </w:tblGrid>
      <w:tr w:rsidR="0055744E" w:rsidRPr="003130C9" w:rsidTr="002E7CDB">
        <w:trPr>
          <w:jc w:val="center"/>
        </w:trPr>
        <w:tc>
          <w:tcPr>
            <w:tcW w:w="1242" w:type="dxa"/>
            <w:vMerge w:val="restart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547" w:type="dxa"/>
            <w:vMerge w:val="restart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032" w:type="dxa"/>
            <w:gridSpan w:val="2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1016" w:type="dxa"/>
            <w:vMerge w:val="restart"/>
            <w:vAlign w:val="center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55744E" w:rsidRPr="00330CF8" w:rsidRDefault="0055744E" w:rsidP="005574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6" w:type="dxa"/>
            <w:vMerge w:val="restart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55744E" w:rsidRPr="00330CF8" w:rsidRDefault="0055744E" w:rsidP="0055744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55744E" w:rsidRPr="003130C9" w:rsidTr="002E7CDB">
        <w:trPr>
          <w:jc w:val="center"/>
        </w:trPr>
        <w:tc>
          <w:tcPr>
            <w:tcW w:w="1242" w:type="dxa"/>
            <w:vMerge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  <w:vMerge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Align w:val="center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6" w:type="dxa"/>
            <w:vAlign w:val="center"/>
          </w:tcPr>
          <w:p w:rsidR="0055744E" w:rsidRPr="00330CF8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30CF8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6" w:type="dxa"/>
            <w:vMerge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vMerge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744E" w:rsidRPr="00EB6CE1" w:rsidTr="0055744E">
        <w:trPr>
          <w:jc w:val="center"/>
        </w:trPr>
        <w:tc>
          <w:tcPr>
            <w:tcW w:w="5789" w:type="dxa"/>
            <w:gridSpan w:val="2"/>
          </w:tcPr>
          <w:p w:rsidR="0055744E" w:rsidRPr="00EB6CE1" w:rsidRDefault="0055744E" w:rsidP="005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Общий гуманитарный и социально –экономический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цикл </w:t>
            </w:r>
            <w:r w:rsidRPr="0055744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(Введены дисциплины вариативной части)</w:t>
            </w:r>
          </w:p>
        </w:tc>
        <w:tc>
          <w:tcPr>
            <w:tcW w:w="1016" w:type="dxa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016" w:type="dxa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16" w:type="dxa"/>
            <w:vAlign w:val="center"/>
          </w:tcPr>
          <w:p w:rsidR="0055744E" w:rsidRPr="00EB6CE1" w:rsidRDefault="00D55C9B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016" w:type="dxa"/>
            <w:vAlign w:val="center"/>
          </w:tcPr>
          <w:p w:rsidR="0055744E" w:rsidRPr="00EB6CE1" w:rsidRDefault="0055744E" w:rsidP="005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философии</w:t>
            </w:r>
            <w:proofErr w:type="spellEnd"/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47" w:type="dxa"/>
            <w:vAlign w:val="center"/>
          </w:tcPr>
          <w:p w:rsidR="00D55C9B" w:rsidRPr="00CE6A88" w:rsidRDefault="00D55C9B" w:rsidP="00D55C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A8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16" w:type="dxa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CE6A88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6A8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ОГСЭ.05</w:t>
            </w:r>
          </w:p>
        </w:tc>
        <w:tc>
          <w:tcPr>
            <w:tcW w:w="4547" w:type="dxa"/>
          </w:tcPr>
          <w:p w:rsidR="00D55C9B" w:rsidRPr="00FD639C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6" w:type="dxa"/>
            <w:vAlign w:val="center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ОГСЭ.06</w:t>
            </w:r>
          </w:p>
        </w:tc>
        <w:tc>
          <w:tcPr>
            <w:tcW w:w="4547" w:type="dxa"/>
          </w:tcPr>
          <w:p w:rsidR="00D55C9B" w:rsidRPr="00FD639C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Введение в специальность: общие компетенции профессионала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639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FD639C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 w:rsidR="00D55C9B" w:rsidRPr="00EB6CE1" w:rsidTr="00DC75C5">
        <w:trPr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247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479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726</w:t>
            </w:r>
          </w:p>
        </w:tc>
      </w:tr>
      <w:tr w:rsidR="00D55C9B" w:rsidRPr="00EB6CE1" w:rsidTr="00DC75C5">
        <w:trPr>
          <w:trHeight w:val="299"/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746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268</w:t>
            </w:r>
          </w:p>
        </w:tc>
      </w:tr>
      <w:tr w:rsidR="00D55C9B" w:rsidRPr="00EB6CE1" w:rsidTr="002E7CDB">
        <w:trPr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  <w:r w:rsidRPr="00EB6CE1"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D55C9B" w:rsidRPr="00EB6CE1" w:rsidTr="002E7CDB">
        <w:trPr>
          <w:trHeight w:val="131"/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16" w:type="dxa"/>
            <w:vAlign w:val="center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ОП.04 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16" w:type="dxa"/>
            <w:vAlign w:val="center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B6CE1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D55C9B" w:rsidRPr="002E7CDB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6" w:type="dxa"/>
          </w:tcPr>
          <w:p w:rsidR="00D55C9B" w:rsidRPr="00DC10CD" w:rsidRDefault="00D55C9B" w:rsidP="00D55C9B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55C9B" w:rsidRPr="00EB6CE1" w:rsidTr="00DC75C5">
        <w:trPr>
          <w:jc w:val="center"/>
        </w:trPr>
        <w:tc>
          <w:tcPr>
            <w:tcW w:w="5789" w:type="dxa"/>
            <w:gridSpan w:val="2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EB6CE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168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«Основы предпринимательства»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1016" w:type="dxa"/>
            <w:vAlign w:val="bottom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D55C9B" w:rsidRPr="00EB6CE1" w:rsidTr="00A76F6C">
        <w:trPr>
          <w:jc w:val="center"/>
        </w:trPr>
        <w:tc>
          <w:tcPr>
            <w:tcW w:w="5789" w:type="dxa"/>
            <w:gridSpan w:val="2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 w:rsidR="00A76F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(в</w:t>
            </w:r>
            <w:r w:rsidR="00A76F6C"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ариативная часть использована на увеличение объема </w:t>
            </w:r>
            <w:proofErr w:type="gramStart"/>
            <w:r w:rsidR="00A76F6C"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="00A76F6C" w:rsidRPr="00EB6CE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</w:t>
            </w:r>
            <w:r w:rsidR="00A76F6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544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343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A7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458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547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EB6C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137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EB6C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D55C9B" w:rsidRPr="00EB6CE1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6" w:type="dxa"/>
            <w:vAlign w:val="center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  <w:tr w:rsidR="00D55C9B" w:rsidRPr="002E7CDB" w:rsidTr="009E67B7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547" w:type="dxa"/>
          </w:tcPr>
          <w:p w:rsidR="00D55C9B" w:rsidRPr="002E7CDB" w:rsidRDefault="00D55C9B" w:rsidP="00D5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CD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Выполнение работ по профессии "Оператор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2E7CD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исследованию скважин"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16" w:type="dxa"/>
            <w:vAlign w:val="center"/>
          </w:tcPr>
          <w:p w:rsidR="00D55C9B" w:rsidRPr="00D55C9B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C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D55C9B" w:rsidRPr="00EB6CE1" w:rsidTr="002E7CDB">
        <w:trPr>
          <w:jc w:val="center"/>
        </w:trPr>
        <w:tc>
          <w:tcPr>
            <w:tcW w:w="1242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D55C9B" w:rsidRPr="00EB6CE1" w:rsidRDefault="00D55C9B" w:rsidP="00D55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  <w:r w:rsidRPr="00EB6C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B6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263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545</w:t>
            </w:r>
          </w:p>
        </w:tc>
        <w:tc>
          <w:tcPr>
            <w:tcW w:w="1016" w:type="dxa"/>
          </w:tcPr>
          <w:p w:rsidR="00D55C9B" w:rsidRPr="00EB6CE1" w:rsidRDefault="00D55C9B" w:rsidP="00D55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808</w:t>
            </w:r>
          </w:p>
        </w:tc>
      </w:tr>
    </w:tbl>
    <w:p w:rsidR="002C62B1" w:rsidRPr="008E1D5A" w:rsidRDefault="00EB6CE1" w:rsidP="00330CF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EB6CE1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4B72A1" w:rsidRPr="008E1D5A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E1D5A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E1D5A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E1D5A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E1D5A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E1D5A">
        <w:rPr>
          <w:rStyle w:val="c2"/>
          <w:color w:val="000000"/>
        </w:rPr>
        <w:t xml:space="preserve">      </w:t>
      </w:r>
      <w:r w:rsidR="00EE08A3" w:rsidRPr="008E1D5A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E1D5A">
        <w:rPr>
          <w:rStyle w:val="c2"/>
          <w:color w:val="000000"/>
        </w:rPr>
        <w:t xml:space="preserve"> </w:t>
      </w:r>
    </w:p>
    <w:p w:rsidR="002C62B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8E1D5A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E1D5A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E1D5A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8"/>
        <w:gridCol w:w="3082"/>
      </w:tblGrid>
      <w:tr w:rsidR="001C1778" w:rsidRPr="003130C9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8E1D5A" w:rsidTr="001C1778">
        <w:trPr>
          <w:trHeight w:val="1873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8E1D5A" w:rsidTr="001C1778">
        <w:trPr>
          <w:trHeight w:val="16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</w:t>
            </w: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процессов,  имитации</w:t>
            </w:r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8E1D5A" w:rsidTr="001C1778">
        <w:trPr>
          <w:trHeight w:val="1584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3130C9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8E1D5A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3130C9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2E7CDB"/>
    <w:rsid w:val="003055E7"/>
    <w:rsid w:val="003066EE"/>
    <w:rsid w:val="003130C9"/>
    <w:rsid w:val="00323A61"/>
    <w:rsid w:val="0032461B"/>
    <w:rsid w:val="00330CF8"/>
    <w:rsid w:val="00333389"/>
    <w:rsid w:val="003467EC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061CE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5744E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53F0E"/>
    <w:rsid w:val="0066534D"/>
    <w:rsid w:val="00670C32"/>
    <w:rsid w:val="006848EE"/>
    <w:rsid w:val="00691360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3B7D"/>
    <w:rsid w:val="008B52F5"/>
    <w:rsid w:val="008C3CB9"/>
    <w:rsid w:val="008D14FF"/>
    <w:rsid w:val="008D2242"/>
    <w:rsid w:val="008E1D5A"/>
    <w:rsid w:val="008E3AF8"/>
    <w:rsid w:val="00901742"/>
    <w:rsid w:val="009021BE"/>
    <w:rsid w:val="00904FE0"/>
    <w:rsid w:val="009115DF"/>
    <w:rsid w:val="00914944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E67B7"/>
    <w:rsid w:val="009F01DD"/>
    <w:rsid w:val="009F6731"/>
    <w:rsid w:val="00A06DE1"/>
    <w:rsid w:val="00A0765E"/>
    <w:rsid w:val="00A07949"/>
    <w:rsid w:val="00A12758"/>
    <w:rsid w:val="00A27119"/>
    <w:rsid w:val="00A34983"/>
    <w:rsid w:val="00A50B86"/>
    <w:rsid w:val="00A54165"/>
    <w:rsid w:val="00A54484"/>
    <w:rsid w:val="00A63702"/>
    <w:rsid w:val="00A65237"/>
    <w:rsid w:val="00A674BC"/>
    <w:rsid w:val="00A74920"/>
    <w:rsid w:val="00A76F6C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1217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B14A8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55C9B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0CD"/>
    <w:rsid w:val="00DC1D15"/>
    <w:rsid w:val="00DC6F68"/>
    <w:rsid w:val="00DC75C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B4A67"/>
    <w:rsid w:val="00EB5498"/>
    <w:rsid w:val="00EB6CE1"/>
    <w:rsid w:val="00EC178B"/>
    <w:rsid w:val="00EC30E9"/>
    <w:rsid w:val="00EC5F80"/>
    <w:rsid w:val="00ED1136"/>
    <w:rsid w:val="00ED4CBF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76D65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E77BF"/>
  <w15:docId w15:val="{BA39E6BE-6101-459E-AEF6-A6412AE3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455C-6D49-474E-9BD3-FADAA518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21</cp:revision>
  <cp:lastPrinted>2018-05-10T13:20:00Z</cp:lastPrinted>
  <dcterms:created xsi:type="dcterms:W3CDTF">2018-05-11T10:29:00Z</dcterms:created>
  <dcterms:modified xsi:type="dcterms:W3CDTF">2018-11-19T07:30:00Z</dcterms:modified>
</cp:coreProperties>
</file>