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7" w:rsidRPr="00C02227" w:rsidRDefault="00A015FA" w:rsidP="002C2E4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87DEF46" wp14:editId="6250F644">
            <wp:simplePos x="0" y="0"/>
            <wp:positionH relativeFrom="column">
              <wp:posOffset>43891</wp:posOffset>
            </wp:positionH>
            <wp:positionV relativeFrom="paragraph">
              <wp:posOffset>407</wp:posOffset>
            </wp:positionV>
            <wp:extent cx="6022975" cy="709295"/>
            <wp:effectExtent l="0" t="0" r="0" b="0"/>
            <wp:wrapTight wrapText="bothSides">
              <wp:wrapPolygon edited="0">
                <wp:start x="0" y="0"/>
                <wp:lineTo x="0" y="20885"/>
                <wp:lineTo x="21520" y="20885"/>
                <wp:lineTo x="21520" y="0"/>
                <wp:lineTo x="0" y="0"/>
              </wp:wrapPolygon>
            </wp:wrapTight>
            <wp:docPr id="1" name="Рисунок 1" descr="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5F189C">
        <w:tc>
          <w:tcPr>
            <w:tcW w:w="4926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учебной работе </w:t>
            </w:r>
            <w:r w:rsidR="00F8190E">
              <w:rPr>
                <w:rFonts w:ascii="Times New Roman" w:hAnsi="Times New Roman"/>
                <w:sz w:val="28"/>
                <w:szCs w:val="28"/>
                <w:lang w:val="ru-RU"/>
              </w:rPr>
              <w:t>УЧ ПОО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92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A5EC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1A36" w:rsidRPr="00C02227" w:rsidRDefault="00901A36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5EC7" w:rsidRPr="00C0222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8A5EC7" w:rsidRPr="00C02227" w:rsidRDefault="00D14235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proofErr w:type="gramStart"/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программы  </w:t>
      </w:r>
      <w:r>
        <w:rPr>
          <w:rFonts w:ascii="Times New Roman" w:hAnsi="Times New Roman"/>
          <w:bCs/>
          <w:sz w:val="28"/>
          <w:szCs w:val="28"/>
          <w:lang w:val="ru-RU"/>
        </w:rPr>
        <w:t>среднего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  <w:r w:rsidRPr="00C02227">
        <w:rPr>
          <w:rFonts w:ascii="Times New Roman" w:hAnsi="Times New Roman"/>
          <w:b/>
          <w:bCs/>
          <w:sz w:val="32"/>
          <w:szCs w:val="32"/>
          <w:lang w:val="ru-RU"/>
        </w:rPr>
        <w:t xml:space="preserve"> (базовая подготовка)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8A5EC7" w:rsidRPr="00D25C3C" w:rsidTr="005F189C">
        <w:trPr>
          <w:jc w:val="right"/>
        </w:trPr>
        <w:tc>
          <w:tcPr>
            <w:tcW w:w="5380" w:type="dxa"/>
          </w:tcPr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Р1</w:t>
            </w:r>
            <w:r w:rsidR="004C3F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8A5EC7" w:rsidRPr="004C3F6E" w:rsidTr="00901A36">
        <w:tc>
          <w:tcPr>
            <w:tcW w:w="483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01 от «</w:t>
            </w:r>
            <w:r w:rsidR="004C3F6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2» августа 201</w:t>
            </w:r>
            <w:r w:rsidR="004C3F6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A5EC7" w:rsidRPr="00C02227" w:rsidRDefault="008A5EC7" w:rsidP="002C2E4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8A5EC7" w:rsidRPr="00C02227" w:rsidRDefault="008A5EC7" w:rsidP="002C2E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4C3F6E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8A5EC7" w:rsidRPr="00C02227" w:rsidRDefault="008A5EC7" w:rsidP="00901A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с 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21.02.01 «Разработка и эксплуатация нефтяных и газовых месторождений»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C02227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C02227">
        <w:rPr>
          <w:rFonts w:ascii="Times New Roman" w:hAnsi="Times New Roman"/>
          <w:sz w:val="28"/>
          <w:szCs w:val="28"/>
          <w:lang w:val="ru-RU"/>
        </w:rPr>
        <w:t>.  №482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8B4E2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C02227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C02227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Срок реализации  образовательной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20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учебная практика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–  21  неделя;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производственная 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227">
        <w:rPr>
          <w:rFonts w:ascii="Times New Roman" w:hAnsi="Times New Roman"/>
          <w:sz w:val="28"/>
          <w:szCs w:val="28"/>
          <w:lang w:val="ru-RU"/>
        </w:rPr>
        <w:t>(преддипломная)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составляет  1 год (52 недели):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8A5EC7" w:rsidRPr="00C02227" w:rsidRDefault="008A5EC7" w:rsidP="00A7492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8A5EC7" w:rsidRPr="00C02227" w:rsidRDefault="008A5EC7" w:rsidP="00AD47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Максимальный объем учебной нагрузки обучающихся составляет 54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различных форм  внеучебных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>219 часов обязательных учебных занятий заочной формы обучения, 1350 час</w:t>
      </w:r>
      <w:bookmarkStart w:id="0" w:name="_GoBack"/>
      <w:bookmarkEnd w:id="0"/>
      <w:r w:rsidR="00235397" w:rsidRPr="006645D5">
        <w:rPr>
          <w:rFonts w:ascii="Times New Roman" w:hAnsi="Times New Roman"/>
          <w:sz w:val="28"/>
          <w:szCs w:val="28"/>
          <w:lang w:val="ru-RU"/>
        </w:rPr>
        <w:t>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дисциплины:  «Основы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DA5027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DA5027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A015FA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A015FA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5C5C03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40F7A" w:rsidTr="00901A36">
        <w:trPr>
          <w:jc w:val="center"/>
        </w:trPr>
        <w:tc>
          <w:tcPr>
            <w:tcW w:w="1415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FB00C2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645D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ПМ.03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Организация деятельности коллектива исполнителей 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модулям  формой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645D5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645D5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>1.9. Материально-техническая база, обеспечивающая реализацию требований 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6"/>
        <w:gridCol w:w="3014"/>
      </w:tblGrid>
      <w:tr w:rsidR="006645D5" w:rsidRPr="00A015F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6645D5" w:rsidRPr="008E1D5A" w:rsidTr="00DD7118">
        <w:trPr>
          <w:trHeight w:val="1873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6645D5" w:rsidRPr="008E1D5A" w:rsidTr="00DD7118">
        <w:trPr>
          <w:trHeight w:val="16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4C3F6E" w:rsidRDefault="004C3F6E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C3F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Кабинет – лаборатория сооружения и эксплуатации </w:t>
            </w:r>
            <w:proofErr w:type="spellStart"/>
            <w:r w:rsidRPr="004C3F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4C3F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4C3F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газонефтехранилищ</w:t>
            </w:r>
            <w:proofErr w:type="spellEnd"/>
            <w:r w:rsidRPr="004C3F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информатики, информационных технологий в профессиональной деятельности; 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4C3F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r w:rsidRPr="004C3F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финансово-хозяйственной деятельности; основ предпринимательской деятельности.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6645D5" w:rsidRPr="008E1D5A" w:rsidTr="00DD7118">
        <w:trPr>
          <w:trHeight w:val="1584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6645D5" w:rsidRPr="00A015F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645D5" w:rsidRPr="008E1D5A" w:rsidRDefault="006645D5" w:rsidP="00DD71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6645D5" w:rsidRPr="00A015F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6645D5" w:rsidRPr="00846FE3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645D5" w:rsidRPr="00846FE3" w:rsidRDefault="006645D5" w:rsidP="00664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45D5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C3F6E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55BE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1217C"/>
    <w:rsid w:val="006122A8"/>
    <w:rsid w:val="0062295B"/>
    <w:rsid w:val="00627688"/>
    <w:rsid w:val="00642065"/>
    <w:rsid w:val="00651144"/>
    <w:rsid w:val="006645D5"/>
    <w:rsid w:val="0066534D"/>
    <w:rsid w:val="00670C3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B558A"/>
    <w:rsid w:val="009C5BD1"/>
    <w:rsid w:val="009D008D"/>
    <w:rsid w:val="009D797B"/>
    <w:rsid w:val="009E165B"/>
    <w:rsid w:val="009F6731"/>
    <w:rsid w:val="00A015FA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A0FF8"/>
    <w:rsid w:val="00CC1609"/>
    <w:rsid w:val="00CC2747"/>
    <w:rsid w:val="00CD6EE5"/>
    <w:rsid w:val="00CE0BEA"/>
    <w:rsid w:val="00CE1050"/>
    <w:rsid w:val="00D04429"/>
    <w:rsid w:val="00D055C7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5027"/>
    <w:rsid w:val="00DC1D1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190E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C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C3F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B596-A366-46A1-AED6-CEFD3208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4</cp:revision>
  <cp:lastPrinted>2018-10-22T08:50:00Z</cp:lastPrinted>
  <dcterms:created xsi:type="dcterms:W3CDTF">2018-10-22T08:46:00Z</dcterms:created>
  <dcterms:modified xsi:type="dcterms:W3CDTF">2018-10-30T07:18:00Z</dcterms:modified>
</cp:coreProperties>
</file>