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8C614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8C614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8C6148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8C6148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832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28 июля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8C6148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8C6148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8C6148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33638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19 августа 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2014 года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b/>
          <w:sz w:val="24"/>
          <w:szCs w:val="24"/>
          <w:lang w:val="ru-RU"/>
        </w:rPr>
        <w:t>38.02.01 «Экономика и бухгалтерский учет (по отраслям)»</w:t>
      </w:r>
      <w:r w:rsidR="0089285B" w:rsidRPr="008C614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C6148">
        <w:rPr>
          <w:rFonts w:ascii="Times New Roman" w:hAnsi="Times New Roman"/>
          <w:sz w:val="24"/>
          <w:szCs w:val="24"/>
        </w:rPr>
        <w:t>No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C6148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8C6148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8C6148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8C614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97F19" w:rsidRPr="008C6148" w:rsidRDefault="002C62B1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97F19" w:rsidRPr="008C614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="00297F19" w:rsidRPr="008C6148">
        <w:rPr>
          <w:rFonts w:ascii="Times New Roman" w:hAnsi="Times New Roman"/>
          <w:sz w:val="24"/>
          <w:szCs w:val="24"/>
          <w:lang w:val="ru-RU"/>
        </w:rPr>
        <w:t>реализации  образовательной</w:t>
      </w:r>
      <w:proofErr w:type="gramEnd"/>
      <w:r w:rsidR="00297F19" w:rsidRPr="008C6148">
        <w:rPr>
          <w:rFonts w:ascii="Times New Roman" w:hAnsi="Times New Roman"/>
          <w:sz w:val="24"/>
          <w:szCs w:val="24"/>
          <w:lang w:val="ru-RU"/>
        </w:rPr>
        <w:t xml:space="preserve"> программы  базовой подготовки при заочной форме получения образования  на базе основного общего образования составляет 3 года 10 месяцев (1</w:t>
      </w:r>
      <w:r w:rsidR="00297F19">
        <w:rPr>
          <w:rFonts w:ascii="Times New Roman" w:hAnsi="Times New Roman"/>
          <w:sz w:val="24"/>
          <w:szCs w:val="24"/>
          <w:lang w:val="ru-RU"/>
        </w:rPr>
        <w:t>99</w:t>
      </w:r>
      <w:r w:rsidR="00297F19" w:rsidRPr="008C6148">
        <w:rPr>
          <w:rFonts w:ascii="Times New Roman" w:hAnsi="Times New Roman"/>
          <w:sz w:val="24"/>
          <w:szCs w:val="24"/>
          <w:lang w:val="ru-RU"/>
        </w:rPr>
        <w:t xml:space="preserve"> недель), в том числе: 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– 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недель;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самостоятельное изучение</w:t>
      </w:r>
      <w:r>
        <w:rPr>
          <w:rFonts w:ascii="Times New Roman" w:hAnsi="Times New Roman"/>
          <w:sz w:val="24"/>
          <w:szCs w:val="24"/>
          <w:lang w:val="ru-RU"/>
        </w:rPr>
        <w:t xml:space="preserve"> 124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учебная практика – </w:t>
      </w:r>
      <w:r w:rsidR="006405C8" w:rsidRPr="006405C8">
        <w:rPr>
          <w:rFonts w:ascii="Times New Roman" w:hAnsi="Times New Roman"/>
          <w:sz w:val="24"/>
          <w:szCs w:val="24"/>
          <w:lang w:val="ru-RU"/>
        </w:rPr>
        <w:t>4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недели;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–  </w:t>
      </w:r>
      <w:r w:rsidR="006405C8" w:rsidRPr="006405C8">
        <w:rPr>
          <w:rFonts w:ascii="Times New Roman" w:hAnsi="Times New Roman"/>
          <w:sz w:val="24"/>
          <w:szCs w:val="24"/>
          <w:lang w:val="ru-RU"/>
        </w:rPr>
        <w:t>6</w:t>
      </w:r>
      <w:proofErr w:type="gramStart"/>
      <w:r w:rsidRPr="008C6148">
        <w:rPr>
          <w:rFonts w:ascii="Times New Roman" w:hAnsi="Times New Roman"/>
          <w:sz w:val="24"/>
          <w:szCs w:val="24"/>
          <w:lang w:val="ru-RU"/>
        </w:rPr>
        <w:t xml:space="preserve">  недель</w:t>
      </w:r>
      <w:proofErr w:type="gramEnd"/>
      <w:r w:rsidRPr="008C614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производственная практика(преддипломная) – 4 недели;</w:t>
      </w:r>
      <w:bookmarkStart w:id="0" w:name="_GoBack"/>
      <w:bookmarkEnd w:id="0"/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297F19" w:rsidRPr="008C6148" w:rsidRDefault="00297F19" w:rsidP="00297F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</w:t>
      </w:r>
      <w:r>
        <w:rPr>
          <w:rFonts w:ascii="Times New Roman" w:hAnsi="Times New Roman"/>
          <w:sz w:val="24"/>
          <w:szCs w:val="24"/>
          <w:lang w:val="ru-RU"/>
        </w:rPr>
        <w:t>35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недели; </w:t>
      </w:r>
    </w:p>
    <w:p w:rsidR="00297F19" w:rsidRPr="008C6148" w:rsidRDefault="00297F19" w:rsidP="00297F19">
      <w:p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8C6148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8C6148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8C6148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148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8C6148">
        <w:rPr>
          <w:rFonts w:ascii="Times New Roman" w:hAnsi="Times New Roman"/>
          <w:sz w:val="24"/>
          <w:szCs w:val="24"/>
          <w:lang w:val="ru-RU"/>
        </w:rPr>
        <w:t>Ос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в </w:t>
      </w: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C614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C6148">
        <w:rPr>
          <w:rFonts w:ascii="Times New Roman" w:hAnsi="Times New Roman"/>
          <w:sz w:val="24"/>
          <w:szCs w:val="24"/>
        </w:rPr>
        <w:t> </w:t>
      </w:r>
      <w:r w:rsidRPr="008C6148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8C6148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8C6148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C6148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C6148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Консультации для обучающихся </w:t>
      </w:r>
      <w:r w:rsidR="00B85845" w:rsidRPr="008C6148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8C614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C236DF" w:rsidRDefault="00C236DF" w:rsidP="00C236D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8C614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8C6148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Общеобразовательный цикл дисциплин направлен на 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социально-экономический профиль</w:t>
      </w:r>
      <w:r w:rsidRPr="008C6148">
        <w:rPr>
          <w:rFonts w:ascii="Times New Roman" w:hAnsi="Times New Roman"/>
          <w:sz w:val="24"/>
          <w:szCs w:val="24"/>
          <w:lang w:val="ru-RU"/>
        </w:rPr>
        <w:t>.</w:t>
      </w:r>
      <w:r w:rsidR="0069412A" w:rsidRPr="008C6148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8C6148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C614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FD747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ОПОП </w:t>
      </w:r>
      <w:proofErr w:type="gramStart"/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СПО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был</w:t>
      </w:r>
      <w:proofErr w:type="gramEnd"/>
      <w:r w:rsidRPr="008C6148">
        <w:rPr>
          <w:rFonts w:ascii="Times New Roman" w:hAnsi="Times New Roman"/>
          <w:sz w:val="24"/>
          <w:szCs w:val="24"/>
          <w:lang w:val="ru-RU"/>
        </w:rPr>
        <w:t xml:space="preserve"> использован весь объем времени, отведенный на</w:t>
      </w:r>
      <w:r w:rsidRPr="008C6148">
        <w:rPr>
          <w:rFonts w:ascii="Times New Roman" w:hAnsi="Times New Roman"/>
          <w:sz w:val="24"/>
          <w:szCs w:val="24"/>
        </w:rPr>
        <w:t> </w:t>
      </w:r>
      <w:r w:rsidRPr="008C6148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FD747C" w:rsidRPr="00FD747C">
        <w:rPr>
          <w:rFonts w:ascii="Times New Roman" w:hAnsi="Times New Roman"/>
          <w:sz w:val="24"/>
          <w:szCs w:val="24"/>
          <w:lang w:val="ru-RU"/>
        </w:rPr>
        <w:t>,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583A">
        <w:rPr>
          <w:rFonts w:ascii="Times New Roman" w:hAnsi="Times New Roman"/>
          <w:sz w:val="24"/>
          <w:szCs w:val="24"/>
          <w:lang w:val="ru-RU"/>
        </w:rPr>
        <w:t xml:space="preserve">207 </w:t>
      </w:r>
      <w:r w:rsidRPr="008C6148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8C6148">
        <w:rPr>
          <w:rFonts w:ascii="Times New Roman" w:hAnsi="Times New Roman"/>
          <w:sz w:val="24"/>
          <w:szCs w:val="24"/>
          <w:lang w:val="ru-RU"/>
        </w:rPr>
        <w:t>ов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C6148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="00FD747C">
        <w:rPr>
          <w:rFonts w:ascii="Times New Roman" w:hAnsi="Times New Roman"/>
          <w:sz w:val="24"/>
          <w:szCs w:val="24"/>
          <w:lang w:val="ru-RU"/>
        </w:rPr>
        <w:t>, 972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часов максимальной учебной нагрузки. </w:t>
      </w:r>
      <w:r w:rsidR="0013583A" w:rsidRPr="0013583A">
        <w:rPr>
          <w:rFonts w:ascii="Times New Roman" w:hAnsi="Times New Roman"/>
          <w:sz w:val="24"/>
          <w:szCs w:val="24"/>
          <w:lang w:val="ru-RU"/>
        </w:rPr>
        <w:t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определены дисциплины: «Экономическая теория», «Введение в специальность»,</w:t>
      </w:r>
      <w:r w:rsidR="00135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583A" w:rsidRPr="0013583A">
        <w:rPr>
          <w:rFonts w:ascii="Times New Roman" w:hAnsi="Times New Roman"/>
          <w:sz w:val="24"/>
          <w:szCs w:val="24"/>
          <w:lang w:val="ru-RU"/>
        </w:rPr>
        <w:t>«Основы нефтегазового производства».</w:t>
      </w:r>
      <w:r w:rsidR="00135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148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8C6148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8C6148">
        <w:rPr>
          <w:rFonts w:ascii="Times New Roman" w:hAnsi="Times New Roman"/>
          <w:sz w:val="24"/>
          <w:szCs w:val="24"/>
          <w:lang w:val="ru-RU"/>
        </w:rPr>
        <w:t>а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D747C">
        <w:rPr>
          <w:rFonts w:ascii="Times New Roman" w:hAnsi="Times New Roman"/>
          <w:sz w:val="24"/>
          <w:szCs w:val="24"/>
          <w:lang w:val="ru-RU"/>
        </w:rPr>
        <w:t>Распределение вариативной части указано в следующей таблице:</w:t>
      </w:r>
    </w:p>
    <w:p w:rsidR="00FD747C" w:rsidRPr="00FD747C" w:rsidRDefault="00FD747C" w:rsidP="00217A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B4E49" w:rsidRPr="00FD747C" w:rsidRDefault="00EB4E49" w:rsidP="00217A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D747C">
        <w:rPr>
          <w:rFonts w:ascii="Times New Roman" w:hAnsi="Times New Roman"/>
          <w:b/>
          <w:sz w:val="24"/>
          <w:szCs w:val="24"/>
          <w:lang w:val="ru-RU"/>
        </w:rPr>
        <w:t>Распределение  вариативной</w:t>
      </w:r>
      <w:proofErr w:type="gramEnd"/>
      <w:r w:rsidRPr="00FD747C">
        <w:rPr>
          <w:rFonts w:ascii="Times New Roman" w:hAnsi="Times New Roman"/>
          <w:b/>
          <w:sz w:val="24"/>
          <w:szCs w:val="24"/>
          <w:lang w:val="ru-RU"/>
        </w:rPr>
        <w:t xml:space="preserve"> и обязательной частей учебных циклов </w:t>
      </w:r>
    </w:p>
    <w:p w:rsidR="00EB4E49" w:rsidRPr="00FD747C" w:rsidRDefault="00EB4E49" w:rsidP="00EB4E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747C">
        <w:rPr>
          <w:rFonts w:ascii="Times New Roman" w:hAnsi="Times New Roman"/>
          <w:b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4318"/>
        <w:gridCol w:w="998"/>
        <w:gridCol w:w="998"/>
        <w:gridCol w:w="998"/>
        <w:gridCol w:w="998"/>
      </w:tblGrid>
      <w:tr w:rsidR="00FD747C" w:rsidRPr="006405C8" w:rsidTr="00CD221E">
        <w:trPr>
          <w:jc w:val="center"/>
        </w:trPr>
        <w:tc>
          <w:tcPr>
            <w:tcW w:w="1347" w:type="dxa"/>
            <w:vMerge w:val="restart"/>
            <w:vAlign w:val="center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</w:tcPr>
          <w:p w:rsidR="00EB4E49" w:rsidRPr="00FD747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EB4E49" w:rsidRPr="00FD747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EB4E49" w:rsidRPr="00FD747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EB4E49" w:rsidRPr="00FD747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FD747C" w:rsidRPr="006405C8" w:rsidTr="00EB4E49">
        <w:trPr>
          <w:jc w:val="center"/>
        </w:trPr>
        <w:tc>
          <w:tcPr>
            <w:tcW w:w="1347" w:type="dxa"/>
            <w:vMerge/>
            <w:vAlign w:val="center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E49" w:rsidRPr="00FD747C" w:rsidRDefault="00EB4E49" w:rsidP="00EB4E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47C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EB4E49" w:rsidRPr="00FD747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4E49" w:rsidRPr="0028459C" w:rsidTr="00EB4E49">
        <w:trPr>
          <w:jc w:val="center"/>
        </w:trPr>
        <w:tc>
          <w:tcPr>
            <w:tcW w:w="5777" w:type="dxa"/>
            <w:gridSpan w:val="2"/>
          </w:tcPr>
          <w:p w:rsidR="00EB4E49" w:rsidRPr="0028459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274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120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ОП.04 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B4E49" w:rsidRPr="00EB4E49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Финансы, денежное обращение и кредит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налогообложение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бухгалтерского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Аудит</w:t>
            </w:r>
            <w:proofErr w:type="spellEnd"/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B4E49" w:rsidRPr="0028459C" w:rsidTr="007974DE">
        <w:trPr>
          <w:jc w:val="center"/>
        </w:trPr>
        <w:tc>
          <w:tcPr>
            <w:tcW w:w="1347" w:type="dxa"/>
            <w:vAlign w:val="center"/>
          </w:tcPr>
          <w:p w:rsidR="00EB4E49" w:rsidRPr="00C236DF" w:rsidRDefault="00EB4E49" w:rsidP="00EB4E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4430" w:type="dxa"/>
            <w:vAlign w:val="center"/>
          </w:tcPr>
          <w:p w:rsidR="00EB4E49" w:rsidRPr="00C236DF" w:rsidRDefault="00EB4E49" w:rsidP="00EB4E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B4E49" w:rsidRPr="0028459C" w:rsidTr="0057118E">
        <w:trPr>
          <w:jc w:val="center"/>
        </w:trPr>
        <w:tc>
          <w:tcPr>
            <w:tcW w:w="5777" w:type="dxa"/>
            <w:gridSpan w:val="2"/>
            <w:vAlign w:val="center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center"/>
          </w:tcPr>
          <w:p w:rsid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4E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4E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</w:tr>
      <w:tr w:rsidR="00EB4E49" w:rsidRPr="0028459C" w:rsidTr="00D91D3F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«Экономическая теория»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EB4E49" w:rsidRPr="0028459C" w:rsidTr="00D91D3F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EB4E49" w:rsidRPr="0028459C" w:rsidTr="00D91D3F">
        <w:trPr>
          <w:trHeight w:val="405"/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ОП.13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B4E49" w:rsidRPr="00EB4E49" w:rsidTr="00EB4E49">
        <w:trPr>
          <w:trHeight w:val="405"/>
          <w:jc w:val="center"/>
        </w:trPr>
        <w:tc>
          <w:tcPr>
            <w:tcW w:w="5777" w:type="dxa"/>
            <w:gridSpan w:val="2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4E49" w:rsidRPr="0028459C" w:rsidTr="00EB4E49">
        <w:trPr>
          <w:jc w:val="center"/>
        </w:trPr>
        <w:tc>
          <w:tcPr>
            <w:tcW w:w="5777" w:type="dxa"/>
            <w:gridSpan w:val="2"/>
          </w:tcPr>
          <w:p w:rsidR="00EB4E49" w:rsidRPr="00EB4E49" w:rsidRDefault="00EB4E49" w:rsidP="00EB4E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Профессиональные модули</w:t>
            </w:r>
            <w:r w:rsidRPr="00EB4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5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Вариативная часть использована на увеличение объема времени  профессиональных модулей  обязательной части</w:t>
            </w:r>
            <w:r w:rsidRPr="00EB4E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698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328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EB4E49" w:rsidRPr="0028459C" w:rsidTr="00EB4E49">
        <w:trPr>
          <w:trHeight w:val="481"/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EB4E49" w:rsidRPr="0028459C" w:rsidTr="00EB4E49">
        <w:trPr>
          <w:trHeight w:val="465"/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Проведение  расчетов с бюджетом и внебюджетными фондами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расчетов с бюджетом и внебюджетными фондами 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Составление и использование бухгалтерской отчетности 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составления бухгалтерской отчетности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МДК.04.02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анализа бухгалтерской отчетности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1019" w:type="dxa"/>
            <w:vAlign w:val="center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EB4E49" w:rsidRPr="00EB4E49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E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4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EB4E49" w:rsidRPr="0028459C" w:rsidTr="00EB4E49">
        <w:trPr>
          <w:jc w:val="center"/>
        </w:trPr>
        <w:tc>
          <w:tcPr>
            <w:tcW w:w="1347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 (профессиональный цикл):</w:t>
            </w:r>
          </w:p>
        </w:tc>
        <w:tc>
          <w:tcPr>
            <w:tcW w:w="1019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972</w:t>
            </w:r>
          </w:p>
        </w:tc>
        <w:tc>
          <w:tcPr>
            <w:tcW w:w="1019" w:type="dxa"/>
          </w:tcPr>
          <w:p w:rsidR="00EB4E49" w:rsidRPr="0028459C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5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19" w:type="dxa"/>
          </w:tcPr>
          <w:p w:rsidR="00EB4E49" w:rsidRPr="00EB4E49" w:rsidRDefault="00EB4E49" w:rsidP="00EB4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516</w:t>
            </w:r>
          </w:p>
        </w:tc>
      </w:tr>
    </w:tbl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8C6148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8C614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C6148">
        <w:rPr>
          <w:rFonts w:ascii="Times New Roman" w:hAnsi="Times New Roman"/>
          <w:sz w:val="24"/>
          <w:szCs w:val="24"/>
          <w:lang w:val="ru-RU"/>
        </w:rPr>
        <w:br/>
        <w:t xml:space="preserve">За период обучения предусмотрено выполнение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курсовой работы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по ПМ.0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8C614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bCs/>
          <w:sz w:val="24"/>
          <w:szCs w:val="24"/>
          <w:lang w:val="ru-RU" w:eastAsia="ru-RU"/>
        </w:rPr>
        <w:t>Составление и использование бухгалтерской отчетности</w:t>
      </w:r>
      <w:r w:rsidR="00D62C5A" w:rsidRPr="008C6148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8C614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C6148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C6148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C6148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C6148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C614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C6148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C6148">
        <w:rPr>
          <w:rStyle w:val="c2"/>
        </w:rPr>
        <w:t xml:space="preserve">      </w:t>
      </w:r>
      <w:r w:rsidR="00EE08A3" w:rsidRPr="008C6148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</w:t>
      </w:r>
      <w:r w:rsidR="00A7396C" w:rsidRPr="008C6148">
        <w:rPr>
          <w:rStyle w:val="c2"/>
        </w:rPr>
        <w:t xml:space="preserve">ая </w:t>
      </w:r>
      <w:r w:rsidR="00EE08A3" w:rsidRPr="008C6148">
        <w:rPr>
          <w:rStyle w:val="c2"/>
        </w:rPr>
        <w:t xml:space="preserve"> </w:t>
      </w:r>
      <w:r w:rsidR="00A7396C" w:rsidRPr="008C6148">
        <w:rPr>
          <w:rStyle w:val="c2"/>
        </w:rPr>
        <w:t>работа</w:t>
      </w:r>
      <w:r w:rsidR="00EE08A3" w:rsidRPr="008C6148">
        <w:rPr>
          <w:rStyle w:val="c2"/>
        </w:rPr>
        <w:t>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C6148">
        <w:rPr>
          <w:rStyle w:val="c2"/>
        </w:rPr>
        <w:t xml:space="preserve"> </w:t>
      </w:r>
    </w:p>
    <w:p w:rsidR="002C62B1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C614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C614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8C6148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C6148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C6148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C6148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C6148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4165"/>
        <w:gridCol w:w="4494"/>
      </w:tblGrid>
      <w:tr w:rsidR="00A7396C" w:rsidRPr="006405C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A7396C" w:rsidRPr="008C6148" w:rsidTr="00FB7E0B">
        <w:trPr>
          <w:trHeight w:val="199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A7396C" w:rsidRPr="008C6148" w:rsidTr="00FB7E0B">
        <w:trPr>
          <w:trHeight w:val="16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148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</w:t>
            </w: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учета;анализа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A7396C" w:rsidRPr="008C6148" w:rsidTr="00FB7E0B">
        <w:trPr>
          <w:trHeight w:val="1539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A7396C" w:rsidRPr="006405C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Слесарная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7396C" w:rsidRPr="008C6148" w:rsidRDefault="00A7396C" w:rsidP="00A73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акцио-нерногообщества</w:t>
            </w:r>
            <w:proofErr w:type="spellEnd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 «Белкамнефть» имени Александра Александровича Волкова 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др</w:t>
            </w:r>
            <w:proofErr w:type="spellEnd"/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A7396C" w:rsidRPr="008C6148" w:rsidTr="00FB7E0B">
        <w:trPr>
          <w:trHeight w:val="55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A7396C" w:rsidRPr="006405C8" w:rsidTr="00FB7E0B">
        <w:trPr>
          <w:trHeight w:val="55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C6148" w:rsidRDefault="002C62B1" w:rsidP="00A73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C6148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87A0A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3583A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459C"/>
    <w:rsid w:val="0028512D"/>
    <w:rsid w:val="00285D96"/>
    <w:rsid w:val="002869FC"/>
    <w:rsid w:val="00293F94"/>
    <w:rsid w:val="00293FAB"/>
    <w:rsid w:val="00297F19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9731C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1B7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05C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C6148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396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36DF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0AC0"/>
    <w:rsid w:val="00E95E9F"/>
    <w:rsid w:val="00EA5036"/>
    <w:rsid w:val="00EB4A67"/>
    <w:rsid w:val="00EB4E49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D747C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E1A84"/>
  <w15:docId w15:val="{F55FB371-66D0-4E26-B15A-B735C32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3AC9-2BE5-40D5-908F-37DEB82C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6</cp:revision>
  <cp:lastPrinted>2018-05-10T13:20:00Z</cp:lastPrinted>
  <dcterms:created xsi:type="dcterms:W3CDTF">2018-05-15T12:26:00Z</dcterms:created>
  <dcterms:modified xsi:type="dcterms:W3CDTF">2018-05-18T09:31:00Z</dcterms:modified>
</cp:coreProperties>
</file>